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ai-logo-brand-idea-maker"/>
    <w:p>
      <w:pPr>
        <w:pStyle w:val="Heading1"/>
      </w:pPr>
      <w:r>
        <w:t xml:space="preserve">AI Logo &amp; Brand Idea Maker</w:t>
      </w:r>
    </w:p>
    <w:p>
      <w:pPr>
        <w:pStyle w:val="FirstParagraph"/>
      </w:pPr>
      <w:r>
        <w:t xml:space="preserve">Generate 2–3 distinct logo concepts plus a simple, usable brand direction from a short description of your business, name, audience, and personality. The output includes rationale for each concept, primary and accent HEX palettes with meaning, recommended typography pairings, logo type guidance (wordmark, icon, combination), usage notes for different backgrounds, and a mini brand book you can hand to a designer or use yourself for early assets.</w:t>
      </w:r>
    </w:p>
    <w:bookmarkStart w:id="20" w:name="how-it-works"/>
    <w:p>
      <w:pPr>
        <w:pStyle w:val="Heading2"/>
      </w:pPr>
      <w:r>
        <w:t xml:space="preserve">How It Works</w:t>
      </w:r>
    </w:p>
    <w:p>
      <w:pPr>
        <w:pStyle w:val="FirstParagraph"/>
      </w:pPr>
      <w:r>
        <w:t xml:space="preserve">Give the business name or working name, one sentence what you do, who the audience is, and 3 words that describe the feeling you want (modern, playful, premium, trustworthy, bold, calm). The maker produces three different logo directions with clear rationale, a restrained 2–3 color palette, type pairing, and practical usage rules so you can start using the direction immediately in presentations, social, or a quick Figma file while you decide on a final designer.</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Business name</w:t>
            </w:r>
          </w:p>
        </w:tc>
        <w:tc>
          <w:tcPr/>
          <w:p>
            <w:pPr>
              <w:pStyle w:val="Compact"/>
              <w:jc w:val="left"/>
            </w:pPr>
            <w:r>
              <w:t xml:space="preserve">Current or working name (even if temporary)</w:t>
            </w:r>
          </w:p>
        </w:tc>
      </w:tr>
      <w:tr>
        <w:tc>
          <w:tcPr/>
          <w:p>
            <w:pPr>
              <w:pStyle w:val="Compact"/>
              <w:jc w:val="left"/>
            </w:pPr>
            <w:r>
              <w:t xml:space="preserve">One-line offering</w:t>
            </w:r>
          </w:p>
        </w:tc>
        <w:tc>
          <w:tcPr/>
          <w:p>
            <w:pPr>
              <w:pStyle w:val="Compact"/>
              <w:jc w:val="left"/>
            </w:pPr>
            <w:r>
              <w:t xml:space="preserve">What you actually sell or deliver</w:t>
            </w:r>
          </w:p>
        </w:tc>
      </w:tr>
      <w:tr>
        <w:tc>
          <w:tcPr/>
          <w:p>
            <w:pPr>
              <w:pStyle w:val="Compact"/>
              <w:jc w:val="left"/>
            </w:pPr>
            <w:r>
              <w:t xml:space="preserve">Audience</w:t>
            </w:r>
          </w:p>
        </w:tc>
        <w:tc>
          <w:tcPr/>
          <w:p>
            <w:pPr>
              <w:pStyle w:val="Compact"/>
              <w:jc w:val="left"/>
            </w:pPr>
            <w:r>
              <w:t xml:space="preserve">Who buys or uses it (e.g. busy parents, B2B ops leads, indie musicians)</w:t>
            </w:r>
          </w:p>
        </w:tc>
      </w:tr>
      <w:tr>
        <w:tc>
          <w:tcPr/>
          <w:p>
            <w:pPr>
              <w:pStyle w:val="Compact"/>
              <w:jc w:val="left"/>
            </w:pPr>
            <w:r>
              <w:t xml:space="preserve">Personality words</w:t>
            </w:r>
          </w:p>
        </w:tc>
        <w:tc>
          <w:tcPr/>
          <w:p>
            <w:pPr>
              <w:pStyle w:val="Compact"/>
              <w:jc w:val="left"/>
            </w:pPr>
            <w:r>
              <w:t xml:space="preserve">3 adjectives that should come across visually</w:t>
            </w:r>
          </w:p>
        </w:tc>
      </w:tr>
    </w:tbl>
    <w:bookmarkEnd w:id="21"/>
    <w:bookmarkStart w:id="28" w:name="logo-brand-direction-blueprint"/>
    <w:p>
      <w:pPr>
        <w:pStyle w:val="Heading2"/>
      </w:pPr>
      <w:r>
        <w:t xml:space="preserve">Logo &amp; Brand Direction Blueprint</w:t>
      </w:r>
    </w:p>
    <w:p>
      <w:pPr>
        <w:pStyle w:val="FirstParagraph"/>
      </w:pPr>
      <w:r>
        <w:t xml:space="preserve">This is the finished deliverable. Use the concepts as starting points for a designer or quick mockups.</w:t>
      </w:r>
    </w:p>
    <w:bookmarkStart w:id="22" w:name="three-distinct-logo-concepts"/>
    <w:p>
      <w:pPr>
        <w:pStyle w:val="Heading3"/>
      </w:pPr>
      <w:r>
        <w:t xml:space="preserve">1. Three Distinct Logo Concepts</w:t>
      </w:r>
    </w:p>
    <w:p>
      <w:pPr>
        <w:pStyle w:val="FirstParagraph"/>
      </w:pPr>
      <w:r>
        <w:rPr>
          <w:bCs/>
          <w:b/>
        </w:rPr>
        <w:t xml:space="preserve">Concept 1 — Wordmark / Lettermark focused</w:t>
      </w:r>
      <w:r>
        <w:t xml:space="preserve"> </w:t>
      </w:r>
      <w:r>
        <w:t xml:space="preserve">Rationale: [[Why this fits the personality and audience — e.g. </w:t>
      </w:r>
      <w:r>
        <w:t xml:space="preserve">“</w:t>
      </w:r>
      <w:r>
        <w:t xml:space="preserve">Clean wordmark for a productivity tool that wants to feel calm and premium without being cold.</w:t>
      </w:r>
      <w:r>
        <w:t xml:space="preserve">”</w:t>
      </w:r>
      <w:r>
        <w:t xml:space="preserve">]]</w:t>
      </w:r>
      <w:r>
        <w:t xml:space="preserve"> </w:t>
      </w:r>
      <w:r>
        <w:t xml:space="preserve">Visual direction: [[Describe the treatment — custom letter spacing, subtle ligature, stacked or horizontal, mono weight or with a light contrast]]</w:t>
      </w:r>
    </w:p>
    <w:p>
      <w:pPr>
        <w:pStyle w:val="BodyText"/>
      </w:pPr>
      <w:r>
        <w:rPr>
          <w:bCs/>
          <w:b/>
        </w:rPr>
        <w:t xml:space="preserve">Concept 2 — Icon + word combination</w:t>
      </w:r>
      <w:r>
        <w:t xml:space="preserve"> </w:t>
      </w:r>
      <w:r>
        <w:t xml:space="preserve">Rationale: [[Why an icon helps recognition here]]</w:t>
      </w:r>
      <w:r>
        <w:t xml:space="preserve"> </w:t>
      </w:r>
      <w:r>
        <w:t xml:space="preserve">Visual direction: [[Simple geometric mark that works small, pairs with the name, can live without the word for app icon / favicon]]</w:t>
      </w:r>
    </w:p>
    <w:p>
      <w:pPr>
        <w:pStyle w:val="BodyText"/>
      </w:pPr>
      <w:r>
        <w:rPr>
          <w:bCs/>
          <w:b/>
        </w:rPr>
        <w:t xml:space="preserve">Concept 3 — Monogram or abstract mark</w:t>
      </w:r>
      <w:r>
        <w:t xml:space="preserve"> </w:t>
      </w:r>
      <w:r>
        <w:t xml:space="preserve">Rationale: [[When the name is long or you want something more ownable and less literal]]</w:t>
      </w:r>
      <w:r>
        <w:t xml:space="preserve"> </w:t>
      </w:r>
      <w:r>
        <w:t xml:space="preserve">Visual direction: [[Abstract but still ownable shape that can be explained in one sentence]]</w:t>
      </w:r>
    </w:p>
    <w:bookmarkEnd w:id="22"/>
    <w:bookmarkStart w:id="23" w:name="color-palette-restrained-3-colors-max"/>
    <w:p>
      <w:pPr>
        <w:pStyle w:val="Heading3"/>
      </w:pPr>
      <w:r>
        <w:t xml:space="preserve">2. Color Palette (Restrained 3 Colors Max)</w:t>
      </w:r>
    </w:p>
    <w:p>
      <w:pPr>
        <w:pStyle w:val="FirstParagraph"/>
      </w:pPr>
      <w:r>
        <w:t xml:space="preserve">Primary: #[[HEX]] — [[Name and meaning —</w:t>
      </w:r>
      <w:r>
        <w:t xml:space="preserve"> </w:t>
      </w:r>
      <w:r>
        <w:t xml:space="preserve">“</w:t>
      </w:r>
      <w:r>
        <w:t xml:space="preserve">Deep slate #1F2A44 — stability, focus, works on light and dark</w:t>
      </w:r>
      <w:r>
        <w:t xml:space="preserve">”</w:t>
      </w:r>
      <w:r>
        <w:t xml:space="preserve">]]</w:t>
      </w:r>
      <w:r>
        <w:t xml:space="preserve"> </w:t>
      </w:r>
      <w:r>
        <w:t xml:space="preserve">Accent 1: #[[HEX]] — [[Use: CTAs, highlights —</w:t>
      </w:r>
      <w:r>
        <w:t xml:space="preserve"> </w:t>
      </w:r>
      <w:r>
        <w:t xml:space="preserve">“</w:t>
      </w:r>
      <w:r>
        <w:t xml:space="preserve">Warm amber #E8A13A — energy without screaming, good contrast on primary</w:t>
      </w:r>
      <w:r>
        <w:t xml:space="preserve">”</w:t>
      </w:r>
      <w:r>
        <w:t xml:space="preserve">]]</w:t>
      </w:r>
      <w:r>
        <w:t xml:space="preserve"> </w:t>
      </w:r>
      <w:r>
        <w:t xml:space="preserve">Accent 2 / neutral: #[[HEX]] — [[Backgrounds, secondary text]]</w:t>
      </w:r>
    </w:p>
    <w:p>
      <w:pPr>
        <w:pStyle w:val="BodyText"/>
      </w:pPr>
      <w:r>
        <w:t xml:space="preserve">Rules: Primary for headlines and key marks. Accent only for action and important data points. Never use all three at full strength together.</w:t>
      </w:r>
    </w:p>
    <w:bookmarkEnd w:id="23"/>
    <w:bookmarkStart w:id="24" w:name="typography-pairing"/>
    <w:p>
      <w:pPr>
        <w:pStyle w:val="Heading3"/>
      </w:pPr>
      <w:r>
        <w:t xml:space="preserve">3. Typography Pairing</w:t>
      </w:r>
    </w:p>
    <w:p>
      <w:pPr>
        <w:pStyle w:val="FirstParagraph"/>
      </w:pPr>
      <w:r>
        <w:t xml:space="preserve">Heading / display: [[Font or system stack — e.g. </w:t>
      </w:r>
      <w:r>
        <w:t xml:space="preserve">“</w:t>
      </w:r>
      <w:r>
        <w:t xml:space="preserve">Inter / SF Pro Display — geometric, highly legible at small sizes, slightly condensed</w:t>
      </w:r>
      <w:r>
        <w:t xml:space="preserve">”</w:t>
      </w:r>
      <w:r>
        <w:t xml:space="preserve">]]</w:t>
      </w:r>
      <w:r>
        <w:t xml:space="preserve"> </w:t>
      </w:r>
      <w:r>
        <w:t xml:space="preserve">Body / UI: [[Font or stack —</w:t>
      </w:r>
      <w:r>
        <w:t xml:space="preserve"> </w:t>
      </w:r>
      <w:r>
        <w:t xml:space="preserve">“</w:t>
      </w:r>
      <w:r>
        <w:t xml:space="preserve">Inter or system sans — consistent with heading family, excellent screen rendering</w:t>
      </w:r>
      <w:r>
        <w:t xml:space="preserve">”</w:t>
      </w:r>
      <w:r>
        <w:t xml:space="preserve">]]</w:t>
      </w:r>
    </w:p>
    <w:p>
      <w:pPr>
        <w:pStyle w:val="BodyText"/>
      </w:pPr>
      <w:r>
        <w:t xml:space="preserve">Avoid: Decorative scripts for body, more than two families, light weights on small text.</w:t>
      </w:r>
    </w:p>
    <w:bookmarkEnd w:id="24"/>
    <w:bookmarkStart w:id="25" w:name="logo-type-guidance-variations"/>
    <w:p>
      <w:pPr>
        <w:pStyle w:val="Heading3"/>
      </w:pPr>
      <w:r>
        <w:t xml:space="preserve">4. Logo Type Guidance &amp; Variations</w:t>
      </w:r>
    </w:p>
    <w:p>
      <w:pPr>
        <w:numPr>
          <w:ilvl w:val="0"/>
          <w:numId w:val="1001"/>
        </w:numPr>
        <w:pStyle w:val="Compact"/>
      </w:pPr>
      <w:r>
        <w:t xml:space="preserve">Primary lockup: Horizontal word + icon (or stacked for tall spaces)</w:t>
      </w:r>
    </w:p>
    <w:p>
      <w:pPr>
        <w:numPr>
          <w:ilvl w:val="0"/>
          <w:numId w:val="1001"/>
        </w:numPr>
        <w:pStyle w:val="Compact"/>
      </w:pPr>
      <w:r>
        <w:t xml:space="preserve">App icon / favicon: Icon only, 1:1, simplified</w:t>
      </w:r>
    </w:p>
    <w:p>
      <w:pPr>
        <w:numPr>
          <w:ilvl w:val="0"/>
          <w:numId w:val="1001"/>
        </w:numPr>
        <w:pStyle w:val="Compact"/>
      </w:pPr>
      <w:r>
        <w:t xml:space="preserve">Monochrome: Single color version for dark or light backgrounds (use the primary or a high-contrast neutral)</w:t>
      </w:r>
    </w:p>
    <w:p>
      <w:pPr>
        <w:numPr>
          <w:ilvl w:val="0"/>
          <w:numId w:val="1001"/>
        </w:numPr>
        <w:pStyle w:val="Compact"/>
      </w:pPr>
      <w:r>
        <w:t xml:space="preserve">Reversed: White or light version for dark backgrounds</w:t>
      </w:r>
    </w:p>
    <w:p>
      <w:pPr>
        <w:numPr>
          <w:ilvl w:val="0"/>
          <w:numId w:val="1001"/>
        </w:numPr>
        <w:pStyle w:val="Compact"/>
      </w:pPr>
      <w:r>
        <w:t xml:space="preserve">Minimum size: 24px height for digital, 12mm for print</w:t>
      </w:r>
    </w:p>
    <w:p>
      <w:pPr>
        <w:pStyle w:val="FirstParagraph"/>
      </w:pPr>
      <w:r>
        <w:t xml:space="preserve">Never stretch, add effects, or change colors outside the defined palette.</w:t>
      </w:r>
    </w:p>
    <w:bookmarkEnd w:id="25"/>
    <w:bookmarkStart w:id="26" w:name="mini-brand-book-first-6-rules"/>
    <w:p>
      <w:pPr>
        <w:pStyle w:val="Heading3"/>
      </w:pPr>
      <w:r>
        <w:t xml:space="preserve">5. Mini Brand Book (First 6 Rules)</w:t>
      </w:r>
    </w:p>
    <w:p>
      <w:pPr>
        <w:numPr>
          <w:ilvl w:val="0"/>
          <w:numId w:val="1002"/>
        </w:numPr>
        <w:pStyle w:val="Compact"/>
      </w:pPr>
      <w:r>
        <w:t xml:space="preserve">Logo always has clear space equal to the height of the</w:t>
      </w:r>
      <w:r>
        <w:t xml:space="preserve"> </w:t>
      </w:r>
      <w:r>
        <w:t xml:space="preserve">“</w:t>
      </w:r>
      <w:r>
        <w:t xml:space="preserve">o</w:t>
      </w:r>
      <w:r>
        <w:t xml:space="preserve">”</w:t>
      </w:r>
      <w:r>
        <w:t xml:space="preserve"> </w:t>
      </w:r>
      <w:r>
        <w:t xml:space="preserve">in the wordmark.</w:t>
      </w:r>
    </w:p>
    <w:p>
      <w:pPr>
        <w:numPr>
          <w:ilvl w:val="0"/>
          <w:numId w:val="1002"/>
        </w:numPr>
        <w:pStyle w:val="Compact"/>
      </w:pPr>
      <w:r>
        <w:t xml:space="preserve">Primary color on light backgrounds; reversed or accent on dark.</w:t>
      </w:r>
    </w:p>
    <w:p>
      <w:pPr>
        <w:numPr>
          <w:ilvl w:val="0"/>
          <w:numId w:val="1002"/>
        </w:numPr>
        <w:pStyle w:val="Compact"/>
      </w:pPr>
      <w:r>
        <w:t xml:space="preserve">Headlines in heading font, medium or semibold. Body regular.</w:t>
      </w:r>
    </w:p>
    <w:p>
      <w:pPr>
        <w:numPr>
          <w:ilvl w:val="0"/>
          <w:numId w:val="1002"/>
        </w:numPr>
        <w:pStyle w:val="Compact"/>
      </w:pPr>
      <w:r>
        <w:t xml:space="preserve">Photography (if used): bright, minimal, one strong subject, lots of negative space, color grade toward the palette.</w:t>
      </w:r>
    </w:p>
    <w:p>
      <w:pPr>
        <w:numPr>
          <w:ilvl w:val="0"/>
          <w:numId w:val="1002"/>
        </w:numPr>
        <w:pStyle w:val="Compact"/>
      </w:pPr>
      <w:r>
        <w:t xml:space="preserve">Icons and illustrations: 2px stroke weight, rounded corners, use palette colors only.</w:t>
      </w:r>
    </w:p>
    <w:p>
      <w:pPr>
        <w:numPr>
          <w:ilvl w:val="0"/>
          <w:numId w:val="1002"/>
        </w:numPr>
        <w:pStyle w:val="Compact"/>
      </w:pPr>
      <w:r>
        <w:t xml:space="preserve">Voice in words: [[Short sentence describing tone to match the visual —</w:t>
      </w:r>
      <w:r>
        <w:t xml:space="preserve"> </w:t>
      </w:r>
      <w:r>
        <w:t xml:space="preserve">“</w:t>
      </w:r>
      <w:r>
        <w:t xml:space="preserve">Direct but warm. No hype. Concrete benefits first.</w:t>
      </w:r>
      <w:r>
        <w:t xml:space="preserve">”</w:t>
      </w:r>
      <w:r>
        <w:t xml:space="preserve">]]</w:t>
      </w:r>
    </w:p>
    <w:bookmarkEnd w:id="26"/>
    <w:bookmarkStart w:id="27" w:name="quick-next-steps-after-you-receive-this"/>
    <w:p>
      <w:pPr>
        <w:pStyle w:val="Heading3"/>
      </w:pPr>
      <w:r>
        <w:t xml:space="preserve">6. Quick Next Steps After You Receive This</w:t>
      </w:r>
    </w:p>
    <w:p>
      <w:pPr>
        <w:numPr>
          <w:ilvl w:val="0"/>
          <w:numId w:val="1003"/>
        </w:numPr>
        <w:pStyle w:val="Compact"/>
      </w:pPr>
      <w:r>
        <w:t xml:space="preserve">Drop the three concepts into a 3-column Figma or Canva frame with the palette applied.</w:t>
      </w:r>
    </w:p>
    <w:p>
      <w:pPr>
        <w:numPr>
          <w:ilvl w:val="0"/>
          <w:numId w:val="1003"/>
        </w:numPr>
        <w:pStyle w:val="Compact"/>
      </w:pPr>
      <w:r>
        <w:t xml:space="preserve">Test the marks at 24px and 240px.</w:t>
      </w:r>
    </w:p>
    <w:p>
      <w:pPr>
        <w:numPr>
          <w:ilvl w:val="0"/>
          <w:numId w:val="1003"/>
        </w:numPr>
        <w:pStyle w:val="Compact"/>
      </w:pPr>
      <w:r>
        <w:t xml:space="preserve">Run the palette through a contrast checker for text on primary.</w:t>
      </w:r>
    </w:p>
    <w:p>
      <w:pPr>
        <w:numPr>
          <w:ilvl w:val="0"/>
          <w:numId w:val="1003"/>
        </w:numPr>
        <w:pStyle w:val="Compact"/>
      </w:pPr>
      <w:r>
        <w:t xml:space="preserve">Pick the one concept that feels most</w:t>
      </w:r>
      <w:r>
        <w:t xml:space="preserve"> </w:t>
      </w:r>
      <w:r>
        <w:t xml:space="preserve">“</w:t>
      </w:r>
      <w:r>
        <w:t xml:space="preserve">you</w:t>
      </w:r>
      <w:r>
        <w:t xml:space="preserve">”</w:t>
      </w:r>
      <w:r>
        <w:t xml:space="preserve"> </w:t>
      </w:r>
      <w:r>
        <w:t xml:space="preserve">and hand the full direction + this doc to a designer with</w:t>
      </w:r>
      <w:r>
        <w:t xml:space="preserve"> </w:t>
      </w:r>
      <w:r>
        <w:t xml:space="preserve">“</w:t>
      </w:r>
      <w:r>
        <w:t xml:space="preserve">start here, evolve don’t restart.</w:t>
      </w:r>
      <w:r>
        <w:t xml:space="preserve">”</w:t>
      </w:r>
    </w:p>
    <w:bookmarkEnd w:id="27"/>
    <w:bookmarkEnd w:id="28"/>
    <w:bookmarkStart w:id="37"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3 concepts</w:t>
            </w:r>
          </w:p>
        </w:tc>
        <w:tc>
          <w:tcPr/>
          <w:p>
            <w:pPr>
              <w:pStyle w:val="Compact"/>
              <w:jc w:val="left"/>
            </w:pPr>
            <w:r>
              <w:t xml:space="preserve">Distinct directions with rationale</w:t>
            </w:r>
          </w:p>
        </w:tc>
      </w:tr>
      <w:tr>
        <w:tc>
          <w:tcPr/>
          <w:p>
            <w:pPr>
              <w:pStyle w:val="Compact"/>
              <w:jc w:val="left"/>
            </w:pPr>
            <w:r>
              <w:t xml:space="preserve">Palette</w:t>
            </w:r>
          </w:p>
        </w:tc>
        <w:tc>
          <w:tcPr/>
          <w:p>
            <w:pPr>
              <w:pStyle w:val="Compact"/>
              <w:jc w:val="left"/>
            </w:pPr>
            <w:r>
              <w:t xml:space="preserve">2–3 colors + meaning + usage rule</w:t>
            </w:r>
          </w:p>
        </w:tc>
      </w:tr>
      <w:tr>
        <w:tc>
          <w:tcPr/>
          <w:p>
            <w:pPr>
              <w:pStyle w:val="Compact"/>
              <w:jc w:val="left"/>
            </w:pPr>
            <w:r>
              <w:t xml:space="preserve">Typography</w:t>
            </w:r>
          </w:p>
        </w:tc>
        <w:tc>
          <w:tcPr/>
          <w:p>
            <w:pPr>
              <w:pStyle w:val="Compact"/>
              <w:jc w:val="left"/>
            </w:pPr>
            <w:r>
              <w:t xml:space="preserve">One heading + one body pairing</w:t>
            </w:r>
          </w:p>
        </w:tc>
      </w:tr>
      <w:tr>
        <w:tc>
          <w:tcPr/>
          <w:p>
            <w:pPr>
              <w:pStyle w:val="Compact"/>
              <w:jc w:val="left"/>
            </w:pPr>
            <w:r>
              <w:t xml:space="preserve">Variations</w:t>
            </w:r>
          </w:p>
        </w:tc>
        <w:tc>
          <w:tcPr/>
          <w:p>
            <w:pPr>
              <w:pStyle w:val="Compact"/>
              <w:jc w:val="left"/>
            </w:pPr>
            <w:r>
              <w:t xml:space="preserve">Lockup, icon, mono, reversed, min size</w:t>
            </w:r>
          </w:p>
        </w:tc>
      </w:tr>
      <w:tr>
        <w:tc>
          <w:tcPr/>
          <w:p>
            <w:pPr>
              <w:pStyle w:val="Compact"/>
              <w:jc w:val="left"/>
            </w:pPr>
            <w:r>
              <w:t xml:space="preserve">Mini rules</w:t>
            </w:r>
          </w:p>
        </w:tc>
        <w:tc>
          <w:tcPr/>
          <w:p>
            <w:pPr>
              <w:pStyle w:val="Compact"/>
              <w:jc w:val="left"/>
            </w:pPr>
            <w:r>
              <w:t xml:space="preserve">5–6 non-negotiable usage notes</w:t>
            </w:r>
          </w:p>
        </w:tc>
      </w:tr>
      <w:tr>
        <w:tc>
          <w:tcPr/>
          <w:p>
            <w:pPr>
              <w:pStyle w:val="Compact"/>
              <w:jc w:val="left"/>
            </w:pPr>
            <w:r>
              <w:t xml:space="preserve">Next steps</w:t>
            </w:r>
          </w:p>
        </w:tc>
        <w:tc>
          <w:tcPr/>
          <w:p>
            <w:pPr>
              <w:pStyle w:val="Compact"/>
              <w:jc w:val="left"/>
            </w:pPr>
            <w:r>
              <w:t xml:space="preserve">Concrete actions you can take today</w:t>
            </w:r>
          </w:p>
        </w:tc>
      </w:tr>
    </w:tbl>
    <w:p>
      <w:pPr>
        <w:pStyle w:val="BodyText"/>
      </w:pPr>
      <w:r>
        <w:t xml:space="preserve">A good early brand direction removes 80% of the</w:t>
      </w:r>
      <w:r>
        <w:t xml:space="preserve"> </w:t>
      </w:r>
      <w:r>
        <w:t xml:space="preserve">“</w:t>
      </w:r>
      <w:r>
        <w:t xml:space="preserve">what if</w:t>
      </w:r>
      <w:r>
        <w:t xml:space="preserve">”</w:t>
      </w:r>
      <w:r>
        <w:t xml:space="preserve"> </w:t>
      </w:r>
      <w:r>
        <w:t xml:space="preserve">paralysis. You do not need the final logo tomorrow — you need a direction you can use while you decide.</w:t>
      </w:r>
    </w:p>
    <w:bookmarkStart w:id="29" w:name="common-logo-pitfalls-to-avoid-early"/>
    <w:p>
      <w:pPr>
        <w:pStyle w:val="Heading3"/>
      </w:pPr>
      <w:r>
        <w:t xml:space="preserve">7. Common Logo Pitfalls to Avoid Early</w:t>
      </w:r>
    </w:p>
    <w:p>
      <w:pPr>
        <w:numPr>
          <w:ilvl w:val="0"/>
          <w:numId w:val="1004"/>
        </w:numPr>
        <w:pStyle w:val="Compact"/>
      </w:pPr>
      <w:r>
        <w:t xml:space="preserve">Too many colors — stick to the 3-color rule until a pro tells you to break it.</w:t>
      </w:r>
    </w:p>
    <w:p>
      <w:pPr>
        <w:numPr>
          <w:ilvl w:val="0"/>
          <w:numId w:val="1004"/>
        </w:numPr>
        <w:pStyle w:val="Compact"/>
      </w:pPr>
      <w:r>
        <w:t xml:space="preserve">Trend chasing — the mark should still make sense in 5 years.</w:t>
      </w:r>
    </w:p>
    <w:p>
      <w:pPr>
        <w:numPr>
          <w:ilvl w:val="0"/>
          <w:numId w:val="1004"/>
        </w:numPr>
        <w:pStyle w:val="Compact"/>
      </w:pPr>
      <w:r>
        <w:t xml:space="preserve">Tiny detail that dies at small sizes — test every concept at favicon size.</w:t>
      </w:r>
    </w:p>
    <w:p>
      <w:pPr>
        <w:numPr>
          <w:ilvl w:val="0"/>
          <w:numId w:val="1004"/>
        </w:numPr>
        <w:pStyle w:val="Compact"/>
      </w:pPr>
      <w:r>
        <w:t xml:space="preserve">Forcing the icon to literally illustrate the offering — simple and ownable beats literal 90% of the time.</w:t>
      </w:r>
    </w:p>
    <w:bookmarkEnd w:id="29"/>
    <w:bookmarkStart w:id="30" w:name="one-page-test"/>
    <w:p>
      <w:pPr>
        <w:pStyle w:val="Heading3"/>
      </w:pPr>
      <w:r>
        <w:t xml:space="preserve">8. One-Page Test</w:t>
      </w:r>
    </w:p>
    <w:p>
      <w:pPr>
        <w:pStyle w:val="FirstParagraph"/>
      </w:pPr>
      <w:r>
        <w:t xml:space="preserve">Print the chosen direction at 50% and 200% scale. Can you still read the name and recognize the mark at both sizes? If not, simplify.</w:t>
      </w:r>
    </w:p>
    <w:bookmarkEnd w:id="30"/>
    <w:bookmarkStart w:id="31" w:name="how-to-brief-a-designer-from-this-output"/>
    <w:p>
      <w:pPr>
        <w:pStyle w:val="Heading3"/>
      </w:pPr>
      <w:r>
        <w:t xml:space="preserve">9. How to Brief a Designer from This Output</w:t>
      </w:r>
    </w:p>
    <w:p>
      <w:pPr>
        <w:pStyle w:val="FirstParagraph"/>
      </w:pPr>
      <w:r>
        <w:t xml:space="preserve">Paste the full chosen concept + palette + type + mini rules +</w:t>
      </w:r>
      <w:r>
        <w:t xml:space="preserve"> </w:t>
      </w:r>
      <w:r>
        <w:t xml:space="preserve">“</w:t>
      </w:r>
      <w:r>
        <w:t xml:space="preserve">evolve this, do not start from zero</w:t>
      </w:r>
      <w:r>
        <w:t xml:space="preserve">”</w:t>
      </w:r>
      <w:r>
        <w:t xml:space="preserve"> </w:t>
      </w:r>
      <w:r>
        <w:t xml:space="preserve">into the design brief. Attach 2–3 reference logos that are</w:t>
      </w:r>
      <w:r>
        <w:t xml:space="preserve"> </w:t>
      </w:r>
      <w:r>
        <w:t xml:space="preserve">“</w:t>
      </w:r>
      <w:r>
        <w:t xml:space="preserve">in the ballpark but not the same</w:t>
      </w:r>
      <w:r>
        <w:t xml:space="preserve">”</w:t>
      </w:r>
      <w:r>
        <w:t xml:space="preserve"> </w:t>
      </w:r>
      <w:r>
        <w:t xml:space="preserve">and 2 that are</w:t>
      </w:r>
      <w:r>
        <w:t xml:space="preserve"> </w:t>
      </w:r>
      <w:r>
        <w:t xml:space="preserve">“</w:t>
      </w:r>
      <w:r>
        <w:t xml:space="preserve">definitely not us.</w:t>
      </w:r>
      <w:r>
        <w:t xml:space="preserve">”</w:t>
      </w:r>
      <w:r>
        <w:t xml:space="preserve"> </w:t>
      </w:r>
      <w:r>
        <w:t xml:space="preserve">This is the fastest way to get good concepts back on the first round.</w:t>
      </w:r>
    </w:p>
    <w:bookmarkEnd w:id="31"/>
    <w:bookmarkStart w:id="32" w:name="early-asset-ideas-you-can-make-today"/>
    <w:p>
      <w:pPr>
        <w:pStyle w:val="Heading3"/>
      </w:pPr>
      <w:r>
        <w:t xml:space="preserve">10. Early Asset Ideas You Can Make Today</w:t>
      </w:r>
    </w:p>
    <w:p>
      <w:pPr>
        <w:numPr>
          <w:ilvl w:val="0"/>
          <w:numId w:val="1005"/>
        </w:numPr>
        <w:pStyle w:val="Compact"/>
      </w:pPr>
      <w:r>
        <w:t xml:space="preserve">Social avatar: icon only or monogram in primary color on the accent or neutral.</w:t>
      </w:r>
    </w:p>
    <w:p>
      <w:pPr>
        <w:numPr>
          <w:ilvl w:val="0"/>
          <w:numId w:val="1005"/>
        </w:numPr>
        <w:pStyle w:val="Compact"/>
      </w:pPr>
      <w:r>
        <w:t xml:space="preserve">Simple letterhead or proposal cover: wordmark + one accent line + palette.</w:t>
      </w:r>
    </w:p>
    <w:p>
      <w:pPr>
        <w:numPr>
          <w:ilvl w:val="0"/>
          <w:numId w:val="1005"/>
        </w:numPr>
        <w:pStyle w:val="Compact"/>
      </w:pPr>
      <w:r>
        <w:t xml:space="preserve">Favicon and app icon export at 1024, 512, 256, 180, 32.</w:t>
      </w:r>
    </w:p>
    <w:p>
      <w:pPr>
        <w:numPr>
          <w:ilvl w:val="0"/>
          <w:numId w:val="1005"/>
        </w:numPr>
        <w:pStyle w:val="Compact"/>
      </w:pPr>
      <w:r>
        <w:t xml:space="preserve">Slide template master with the heading font and primary/accent rules applied.</w:t>
      </w:r>
    </w:p>
    <w:p>
      <w:pPr>
        <w:numPr>
          <w:ilvl w:val="0"/>
          <w:numId w:val="1005"/>
        </w:numPr>
        <w:pStyle w:val="Compact"/>
      </w:pPr>
      <w:r>
        <w:t xml:space="preserve">One</w:t>
      </w:r>
      <w:r>
        <w:t xml:space="preserve"> </w:t>
      </w:r>
      <w:r>
        <w:t xml:space="preserve">“</w:t>
      </w:r>
      <w:r>
        <w:t xml:space="preserve">coming soon</w:t>
      </w:r>
      <w:r>
        <w:t xml:space="preserve">”</w:t>
      </w:r>
      <w:r>
        <w:t xml:space="preserve"> </w:t>
      </w:r>
      <w:r>
        <w:t xml:space="preserve">landing hero using the palette and one concept lockup.</w:t>
      </w:r>
    </w:p>
    <w:p>
      <w:pPr>
        <w:pStyle w:val="FirstParagraph"/>
      </w:pPr>
      <w:r>
        <w:t xml:space="preserve">You now have enough to look like a real brand while you decide on the final mark.</w:t>
      </w:r>
    </w:p>
    <w:bookmarkEnd w:id="32"/>
    <w:bookmarkStart w:id="33" w:name="when-to-evolve-vs.-when-to-start-over"/>
    <w:p>
      <w:pPr>
        <w:pStyle w:val="Heading3"/>
      </w:pPr>
      <w:r>
        <w:t xml:space="preserve">11. When to Evolve vs. When to Start Over</w:t>
      </w:r>
    </w:p>
    <w:p>
      <w:pPr>
        <w:pStyle w:val="FirstParagraph"/>
      </w:pPr>
      <w:r>
        <w:t xml:space="preserve">Evolve if the direction captures the personality but the execution needs refinement (better letterforms, simpler mark, better balance).</w:t>
      </w:r>
    </w:p>
    <w:p>
      <w:pPr>
        <w:pStyle w:val="BodyText"/>
      </w:pPr>
      <w:r>
        <w:t xml:space="preserve">Start over only if the entire concept feels wrong for the audience after you test it on real people for 48 hours.</w:t>
      </w:r>
    </w:p>
    <w:p>
      <w:pPr>
        <w:pStyle w:val="BodyText"/>
      </w:pPr>
      <w:r>
        <w:t xml:space="preserve">Most founders over-rotate too early. Live with one direction for a week of real use before you decide it is not</w:t>
      </w:r>
      <w:r>
        <w:t xml:space="preserve"> </w:t>
      </w:r>
      <w:r>
        <w:t xml:space="preserve">“</w:t>
      </w:r>
      <w:r>
        <w:t xml:space="preserve">the one.</w:t>
      </w:r>
      <w:r>
        <w:t xml:space="preserve">”</w:t>
      </w:r>
    </w:p>
    <w:bookmarkEnd w:id="33"/>
    <w:bookmarkStart w:id="34" w:name="palette-application-cheat-sheet"/>
    <w:p>
      <w:pPr>
        <w:pStyle w:val="Heading3"/>
      </w:pPr>
      <w:r>
        <w:t xml:space="preserve">12. Palette Application Cheat Sheet</w:t>
      </w:r>
    </w:p>
    <w:p>
      <w:pPr>
        <w:numPr>
          <w:ilvl w:val="0"/>
          <w:numId w:val="1006"/>
        </w:numPr>
        <w:pStyle w:val="Compact"/>
      </w:pPr>
      <w:r>
        <w:t xml:space="preserve">Headlines and primary mark: Primary color</w:t>
      </w:r>
    </w:p>
    <w:p>
      <w:pPr>
        <w:numPr>
          <w:ilvl w:val="0"/>
          <w:numId w:val="1006"/>
        </w:numPr>
        <w:pStyle w:val="Compact"/>
      </w:pPr>
      <w:r>
        <w:t xml:space="preserve">Links and primary buttons: Accent 1</w:t>
      </w:r>
    </w:p>
    <w:p>
      <w:pPr>
        <w:numPr>
          <w:ilvl w:val="0"/>
          <w:numId w:val="1006"/>
        </w:numPr>
        <w:pStyle w:val="Compact"/>
      </w:pPr>
      <w:r>
        <w:t xml:space="preserve">Backgrounds and cards: Neutral or white with subtle Primary tint at 5%</w:t>
      </w:r>
    </w:p>
    <w:p>
      <w:pPr>
        <w:numPr>
          <w:ilvl w:val="0"/>
          <w:numId w:val="1006"/>
        </w:numPr>
        <w:pStyle w:val="Compact"/>
      </w:pPr>
      <w:r>
        <w:t xml:space="preserve">Secondary text: Primary at 70% opacity or a darker neutral</w:t>
      </w:r>
    </w:p>
    <w:p>
      <w:pPr>
        <w:numPr>
          <w:ilvl w:val="0"/>
          <w:numId w:val="1006"/>
        </w:numPr>
        <w:pStyle w:val="Compact"/>
      </w:pPr>
      <w:r>
        <w:t xml:space="preserve">Error / success states: Use Accent 1 sparingly; never red unless it is part of the defined palette</w:t>
      </w:r>
    </w:p>
    <w:p>
      <w:pPr>
        <w:pStyle w:val="FirstParagraph"/>
      </w:pPr>
      <w:r>
        <w:t xml:space="preserve">Test all combinations in light and dark mode before you ship the first assets.</w:t>
      </w:r>
    </w:p>
    <w:bookmarkEnd w:id="34"/>
    <w:bookmarkStart w:id="35" w:name="file-naming-handoff-convention"/>
    <w:p>
      <w:pPr>
        <w:pStyle w:val="Heading3"/>
      </w:pPr>
      <w:r>
        <w:t xml:space="preserve">13. File Naming &amp; Handoff Convention</w:t>
      </w:r>
    </w:p>
    <w:p>
      <w:pPr>
        <w:pStyle w:val="FirstParagraph"/>
      </w:pPr>
      <w:r>
        <w:t xml:space="preserve">logo-primary-horizontal.svg</w:t>
      </w:r>
      <w:r>
        <w:t xml:space="preserve"> </w:t>
      </w:r>
      <w:r>
        <w:t xml:space="preserve">logo-primary-stacked.svg</w:t>
      </w:r>
      <w:r>
        <w:t xml:space="preserve"> </w:t>
      </w:r>
      <w:r>
        <w:t xml:space="preserve">logo-icon.svg</w:t>
      </w:r>
      <w:r>
        <w:t xml:space="preserve"> </w:t>
      </w:r>
      <w:r>
        <w:t xml:space="preserve">logo-reversed.svg</w:t>
      </w:r>
      <w:r>
        <w:t xml:space="preserve"> </w:t>
      </w:r>
      <w:r>
        <w:t xml:space="preserve">palette.json (with names and meanings)</w:t>
      </w:r>
      <w:r>
        <w:t xml:space="preserve"> </w:t>
      </w:r>
      <w:r>
        <w:t xml:space="preserve">brand-voice.txt (one paragraph + 3 adjectives)</w:t>
      </w:r>
    </w:p>
    <w:p>
      <w:pPr>
        <w:pStyle w:val="BodyText"/>
      </w:pPr>
      <w:r>
        <w:t xml:space="preserve">Consistent naming makes the handoff to future designers or developers painless.</w:t>
      </w:r>
    </w:p>
    <w:bookmarkEnd w:id="35"/>
    <w:bookmarkStart w:id="36" w:name="final-reality-check"/>
    <w:p>
      <w:pPr>
        <w:pStyle w:val="Heading3"/>
      </w:pPr>
      <w:r>
        <w:t xml:space="preserve">14. Final Reality Check</w:t>
      </w:r>
    </w:p>
    <w:p>
      <w:pPr>
        <w:pStyle w:val="FirstParagraph"/>
      </w:pPr>
      <w:r>
        <w:t xml:space="preserve">If you would not put the mark on a T-shirt or a pitch deck slide in front of a customer today, keep refining the execution or pick a different concept. The direction is only useful if you will actually use it.</w:t>
      </w:r>
    </w:p>
    <w:p>
      <w:pPr>
        <w:pStyle w:val="BodyText"/>
      </w:pPr>
      <w:r>
        <w:t xml:space="preserve">A strong early brand system buys you time and credibility while you focus on the actual product and customers. Use it.</w:t>
      </w:r>
    </w:p>
    <w:p>
      <w:pPr>
        <w:pStyle w:val="BodyText"/>
      </w:pPr>
      <w:r>
        <w:t xml:space="preserve">Start with one concept this week. Ship something with it. Decide later if it needs to evolve.</w:t>
      </w:r>
    </w:p>
    <w:p>
      <w:pPr>
        <w:pStyle w:val="BodyText"/>
      </w:pPr>
      <w:r>
        <w:t xml:space="preserve">(150+ line depth for aihowto.pro Logo &amp; Brand Idea Maker. [[tokens]] for personal inputs.)</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2026-07-02T17:13:02Z</dcterms:created>
  <dcterms:modified xsi:type="dcterms:W3CDTF">2026-07-02T17:13:02Z</dcterms:modified>
</cp:coreProperties>
</file>

<file path=docProps/custom.xml><?xml version="1.0" encoding="utf-8"?>
<Properties xmlns="http://schemas.openxmlformats.org/officeDocument/2006/custom-properties" xmlns:vt="http://schemas.openxmlformats.org/officeDocument/2006/docPropsVTypes"/>
</file>