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ai-avatar-creator-guide"/>
    <w:p>
      <w:pPr>
        <w:pStyle w:val="Heading1"/>
      </w:pPr>
      <w:r>
        <w:t xml:space="preserve">AI Avatar Creator Guide</w:t>
      </w:r>
    </w:p>
    <w:p>
      <w:pPr>
        <w:pStyle w:val="FirstParagraph"/>
      </w:pPr>
      <w:r>
        <w:t xml:space="preserve">Provide your preferred style direction, primary use cases, and desired vibe. Receive a complete avatar creation guide with tool recommendations, prompt formulas that produce consistent results, output specs, variation sets, and brand-alignment checks so you can generate professional avatars for profiles, content, and marketing assets.</w:t>
      </w:r>
    </w:p>
    <w:bookmarkStart w:id="20" w:name="how-to-use-this-template"/>
    <w:p>
      <w:pPr>
        <w:pStyle w:val="Heading2"/>
      </w:pPr>
      <w:r>
        <w:t xml:space="preserve">How to Use This Template</w:t>
      </w:r>
    </w:p>
    <w:p>
      <w:pPr>
        <w:pStyle w:val="FirstParagraph"/>
      </w:pPr>
      <w:r>
        <w:t xml:space="preserve">Fill your inputs. The guide walks through style selection, tool choice, prompt engineering for consistency, and production steps. Every [[Token]] is a value you supply once and reuse. At the end you will have a reusable prompt kit plus a checklist for every new avatar batch.</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Style direction</w:t>
            </w:r>
          </w:p>
        </w:tc>
        <w:tc>
          <w:tcPr/>
          <w:p>
            <w:pPr>
              <w:pStyle w:val="Compact"/>
              <w:jc w:val="left"/>
            </w:pPr>
            <w:r>
              <w:t xml:space="preserve">Realistic, 3D rendered, anime, cartoon, vector, painterly, cinematic</w:t>
            </w:r>
          </w:p>
        </w:tc>
      </w:tr>
      <w:tr>
        <w:tc>
          <w:tcPr/>
          <w:p>
            <w:pPr>
              <w:pStyle w:val="Compact"/>
              <w:jc w:val="left"/>
            </w:pPr>
            <w:r>
              <w:t xml:space="preserve">Primary uses</w:t>
            </w:r>
          </w:p>
        </w:tc>
        <w:tc>
          <w:tcPr/>
          <w:p>
            <w:pPr>
              <w:pStyle w:val="Compact"/>
              <w:jc w:val="left"/>
            </w:pPr>
            <w:r>
              <w:t xml:space="preserve">LinkedIn profile, YouTube thumbnails, blog hero, product illustrations, social posts, team page</w:t>
            </w:r>
          </w:p>
        </w:tc>
      </w:tr>
      <w:tr>
        <w:tc>
          <w:tcPr/>
          <w:p>
            <w:pPr>
              <w:pStyle w:val="Compact"/>
              <w:jc w:val="left"/>
            </w:pPr>
            <w:r>
              <w:t xml:space="preserve">Vibe keywords</w:t>
            </w:r>
          </w:p>
        </w:tc>
        <w:tc>
          <w:tcPr/>
          <w:p>
            <w:pPr>
              <w:pStyle w:val="Compact"/>
              <w:jc w:val="left"/>
            </w:pPr>
            <w:r>
              <w:t xml:space="preserve">Professional, friendly, bold, mysterious, playful, premium, approachable</w:t>
            </w:r>
          </w:p>
        </w:tc>
      </w:tr>
      <w:tr>
        <w:tc>
          <w:tcPr/>
          <w:p>
            <w:pPr>
              <w:pStyle w:val="Compact"/>
              <w:jc w:val="left"/>
            </w:pPr>
            <w:r>
              <w:t xml:space="preserve">Color palette</w:t>
            </w:r>
          </w:p>
        </w:tc>
        <w:tc>
          <w:tcPr/>
          <w:p>
            <w:pPr>
              <w:pStyle w:val="Compact"/>
              <w:jc w:val="left"/>
            </w:pPr>
            <w:r>
              <w:t xml:space="preserve">Brand colors or mood palette (e.g. deep teal + warm neutrals)</w:t>
            </w:r>
          </w:p>
        </w:tc>
      </w:tr>
      <w:tr>
        <w:tc>
          <w:tcPr/>
          <w:p>
            <w:pPr>
              <w:pStyle w:val="Compact"/>
              <w:jc w:val="left"/>
            </w:pPr>
            <w:r>
              <w:t xml:space="preserve">Face reference</w:t>
            </w:r>
          </w:p>
        </w:tc>
        <w:tc>
          <w:tcPr/>
          <w:p>
            <w:pPr>
              <w:pStyle w:val="Compact"/>
              <w:jc w:val="left"/>
            </w:pPr>
            <w:r>
              <w:t xml:space="preserve">Description of facial features, age range, hair, ethnicity cues if relevant</w:t>
            </w:r>
          </w:p>
        </w:tc>
      </w:tr>
    </w:tbl>
    <w:bookmarkEnd w:id="21"/>
    <w:bookmarkStart w:id="22" w:name="section-1-style-direction-matched-to-use"/>
    <w:p>
      <w:pPr>
        <w:pStyle w:val="Heading2"/>
      </w:pPr>
      <w:r>
        <w:t xml:space="preserve">Section 1 — Style Direction Matched to Use</w:t>
      </w:r>
    </w:p>
    <w:p>
      <w:pPr>
        <w:pStyle w:val="FirstParagraph"/>
      </w:pPr>
      <w:r>
        <w:t xml:space="preserve">Choose one primary style. Mixing styles across assets breaks brand recognition.</w:t>
      </w:r>
    </w:p>
    <w:p>
      <w:pPr>
        <w:pStyle w:val="BodyText"/>
      </w:pPr>
      <w:r>
        <w:rPr>
          <w:bCs/>
          <w:b/>
        </w:rPr>
        <w:t xml:space="preserve">Selected style:</w:t>
      </w:r>
      <w:r>
        <w:t xml:space="preserve"> </w:t>
      </w:r>
      <w:r>
        <w:t xml:space="preserve">[[Realistic photographic / 3D Pixar-like / Clean anime / Bold cartoon / Minimal vector illustration]]</w:t>
      </w:r>
    </w:p>
    <w:p>
      <w:pPr>
        <w:pStyle w:val="BodyText"/>
      </w:pPr>
      <w:r>
        <w:rPr>
          <w:bCs/>
          <w:b/>
        </w:rPr>
        <w:t xml:space="preserve">Why this style fits your uses:</w:t>
      </w:r>
    </w:p>
    <w:p>
      <w:pPr>
        <w:numPr>
          <w:ilvl w:val="0"/>
          <w:numId w:val="1001"/>
        </w:numPr>
      </w:pPr>
      <w:r>
        <w:t xml:space="preserve">Professional profiles and client-facing work benefit from realistic or polished 3D that still feels human.</w:t>
      </w:r>
    </w:p>
    <w:p>
      <w:pPr>
        <w:numPr>
          <w:ilvl w:val="0"/>
          <w:numId w:val="1001"/>
        </w:numPr>
      </w:pPr>
      <w:r>
        <w:t xml:space="preserve">Content and social channels often perform better with slightly stylized (cartoon or anime) that stands out in feeds.</w:t>
      </w:r>
    </w:p>
    <w:p>
      <w:pPr>
        <w:numPr>
          <w:ilvl w:val="0"/>
          <w:numId w:val="1001"/>
        </w:numPr>
      </w:pPr>
      <w:r>
        <w:t xml:space="preserve">Internal team assets or playful brands can go more illustrative or vector for easy scaling.</w:t>
      </w:r>
    </w:p>
    <w:p>
      <w:pPr>
        <w:pStyle w:val="FirstParagraph"/>
      </w:pPr>
      <w:r>
        <w:rPr>
          <w:bCs/>
          <w:b/>
        </w:rPr>
        <w:t xml:space="preserve">Style-to-use mapping table:</w:t>
      </w:r>
    </w:p>
    <w:tbl>
      <w:tblPr>
        <w:tblStyle w:val="Table"/>
        <w:tblW w:type="pct" w:w="5000"/>
        <w:tblLook w:firstRow="1" w:lastRow="0" w:firstColumn="0" w:lastColumn="0" w:noHBand="0" w:noVBand="0" w:val="0020"/>
        <w:jc w:val="start"/>
        <w:tblLayout w:type="fixed"/>
      </w:tblPr>
      <w:tblGrid>
        <w:gridCol w:w="2640"/>
        <w:gridCol w:w="2640"/>
        <w:gridCol w:w="2640"/>
      </w:tblGrid>
      <w:tr>
        <w:trPr>
          <w:tblHeader w:val="true"/>
        </w:trPr>
        <w:tc>
          <w:tcPr/>
          <w:p>
            <w:pPr>
              <w:pStyle w:val="Compact"/>
              <w:jc w:val="left"/>
            </w:pPr>
            <w:r>
              <w:t xml:space="preserve">Style</w:t>
            </w:r>
          </w:p>
        </w:tc>
        <w:tc>
          <w:tcPr/>
          <w:p>
            <w:pPr>
              <w:pStyle w:val="Compact"/>
              <w:jc w:val="left"/>
            </w:pPr>
            <w:r>
              <w:t xml:space="preserve">Best for</w:t>
            </w:r>
          </w:p>
        </w:tc>
        <w:tc>
          <w:tcPr/>
          <w:p>
            <w:pPr>
              <w:pStyle w:val="Compact"/>
              <w:jc w:val="left"/>
            </w:pPr>
            <w:r>
              <w:t xml:space="preserve">Risk if misused</w:t>
            </w:r>
          </w:p>
        </w:tc>
      </w:tr>
      <w:tr>
        <w:tc>
          <w:tcPr/>
          <w:p>
            <w:pPr>
              <w:pStyle w:val="Compact"/>
              <w:jc w:val="left"/>
            </w:pPr>
            <w:r>
              <w:t xml:space="preserve">Photorealistic</w:t>
            </w:r>
          </w:p>
        </w:tc>
        <w:tc>
          <w:tcPr/>
          <w:p>
            <w:pPr>
              <w:pStyle w:val="Compact"/>
              <w:jc w:val="left"/>
            </w:pPr>
            <w:r>
              <w:t xml:space="preserve">Executive profiles, speaker headshots, serious B2B</w:t>
            </w:r>
          </w:p>
        </w:tc>
        <w:tc>
          <w:tcPr/>
          <w:p>
            <w:pPr>
              <w:pStyle w:val="Compact"/>
              <w:jc w:val="left"/>
            </w:pPr>
            <w:r>
              <w:t xml:space="preserve">Can look fake if lighting or anatomy is off</w:t>
            </w:r>
          </w:p>
        </w:tc>
      </w:tr>
      <w:tr>
        <w:tc>
          <w:tcPr/>
          <w:p>
            <w:pPr>
              <w:pStyle w:val="Compact"/>
              <w:jc w:val="left"/>
            </w:pPr>
            <w:r>
              <w:t xml:space="preserve">3D Pixar-like</w:t>
            </w:r>
          </w:p>
        </w:tc>
        <w:tc>
          <w:tcPr/>
          <w:p>
            <w:pPr>
              <w:pStyle w:val="Compact"/>
              <w:jc w:val="left"/>
            </w:pPr>
            <w:r>
              <w:t xml:space="preserve">Friendly tech brands, explainer videos, kids products</w:t>
            </w:r>
          </w:p>
        </w:tc>
        <w:tc>
          <w:tcPr/>
          <w:p>
            <w:pPr>
              <w:pStyle w:val="Compact"/>
              <w:jc w:val="left"/>
            </w:pPr>
            <w:r>
              <w:t xml:space="preserve">Too</w:t>
            </w:r>
            <w:r>
              <w:t xml:space="preserve"> </w:t>
            </w:r>
            <w:r>
              <w:t xml:space="preserve">“</w:t>
            </w:r>
            <w:r>
              <w:t xml:space="preserve">cute</w:t>
            </w:r>
            <w:r>
              <w:t xml:space="preserve">”</w:t>
            </w:r>
            <w:r>
              <w:t xml:space="preserve"> </w:t>
            </w:r>
            <w:r>
              <w:t xml:space="preserve">for enterprise legal or finance</w:t>
            </w:r>
          </w:p>
        </w:tc>
      </w:tr>
      <w:tr>
        <w:tc>
          <w:tcPr/>
          <w:p>
            <w:pPr>
              <w:pStyle w:val="Compact"/>
              <w:jc w:val="left"/>
            </w:pPr>
            <w:r>
              <w:t xml:space="preserve">Clean anime</w:t>
            </w:r>
          </w:p>
        </w:tc>
        <w:tc>
          <w:tcPr/>
          <w:p>
            <w:pPr>
              <w:pStyle w:val="Compact"/>
              <w:jc w:val="left"/>
            </w:pPr>
            <w:r>
              <w:t xml:space="preserve">Gaming, education, creator economy, Gen-Z audiences</w:t>
            </w:r>
          </w:p>
        </w:tc>
        <w:tc>
          <w:tcPr/>
          <w:p>
            <w:pPr>
              <w:pStyle w:val="Compact"/>
              <w:jc w:val="left"/>
            </w:pPr>
            <w:r>
              <w:t xml:space="preserve">May alienate traditional corporate buyers</w:t>
            </w:r>
          </w:p>
        </w:tc>
      </w:tr>
      <w:tr>
        <w:tc>
          <w:tcPr/>
          <w:p>
            <w:pPr>
              <w:pStyle w:val="Compact"/>
              <w:jc w:val="left"/>
            </w:pPr>
            <w:r>
              <w:t xml:space="preserve">Bold cartoon</w:t>
            </w:r>
          </w:p>
        </w:tc>
        <w:tc>
          <w:tcPr/>
          <w:p>
            <w:pPr>
              <w:pStyle w:val="Compact"/>
              <w:jc w:val="left"/>
            </w:pPr>
            <w:r>
              <w:t xml:space="preserve">Startups, consumer apps, social-first brands</w:t>
            </w:r>
          </w:p>
        </w:tc>
        <w:tc>
          <w:tcPr/>
          <w:p>
            <w:pPr>
              <w:pStyle w:val="Compact"/>
              <w:jc w:val="left"/>
            </w:pPr>
            <w:r>
              <w:t xml:space="preserve">Hard to look premium at small sizes</w:t>
            </w:r>
          </w:p>
        </w:tc>
      </w:tr>
      <w:tr>
        <w:tc>
          <w:tcPr/>
          <w:p>
            <w:pPr>
              <w:pStyle w:val="Compact"/>
              <w:jc w:val="left"/>
            </w:pPr>
            <w:r>
              <w:t xml:space="preserve">Minimal vector</w:t>
            </w:r>
          </w:p>
        </w:tc>
        <w:tc>
          <w:tcPr/>
          <w:p>
            <w:pPr>
              <w:pStyle w:val="Compact"/>
              <w:jc w:val="left"/>
            </w:pPr>
            <w:r>
              <w:t xml:space="preserve">Logos, icons, simple marketing diagrams</w:t>
            </w:r>
          </w:p>
        </w:tc>
        <w:tc>
          <w:tcPr/>
          <w:p>
            <w:pPr>
              <w:pStyle w:val="Compact"/>
              <w:jc w:val="left"/>
            </w:pPr>
            <w:r>
              <w:t xml:space="preserve">Lacks personality for personal branding</w:t>
            </w:r>
          </w:p>
        </w:tc>
      </w:tr>
    </w:tbl>
    <w:p>
      <w:pPr>
        <w:pStyle w:val="BodyText"/>
      </w:pPr>
      <w:r>
        <w:rPr>
          <w:bCs/>
          <w:b/>
        </w:rPr>
        <w:t xml:space="preserve">Your style decision:</w:t>
      </w:r>
      <w:r>
        <w:t xml:space="preserve"> </w:t>
      </w:r>
      <w:r>
        <w:t xml:space="preserve">[[Style name]] for [[Primary use]] and [[Secondary use]].</w:t>
      </w:r>
    </w:p>
    <w:bookmarkEnd w:id="22"/>
    <w:bookmarkStart w:id="24" w:name="section-2-recommended-tools"/>
    <w:p>
      <w:pPr>
        <w:pStyle w:val="Heading2"/>
      </w:pPr>
      <w:r>
        <w:t xml:space="preserve">Section 2 — Recommended Tools</w:t>
      </w:r>
    </w:p>
    <w:p>
      <w:pPr>
        <w:pStyle w:val="FirstParagraph"/>
      </w:pPr>
      <w:r>
        <w:t xml:space="preserve">Pick 1-2 primary tools. Master the prompt language of your main tool before adding more.</w:t>
      </w:r>
    </w:p>
    <w:bookmarkStart w:id="23" w:name="tool-comparison"/>
    <w:p>
      <w:pPr>
        <w:pStyle w:val="Heading3"/>
      </w:pPr>
      <w:r>
        <w:t xml:space="preserve">Tool Comparison</w:t>
      </w:r>
    </w:p>
    <w:tbl>
      <w:tblPr>
        <w:tblStyle w:val="Table"/>
        <w:tblW w:type="pct" w:w="5000"/>
        <w:tblLook w:firstRow="1" w:lastRow="0" w:firstColumn="0" w:lastColumn="0" w:noHBand="0" w:noVBand="0" w:val="0020"/>
        <w:jc w:val="start"/>
        <w:tblLayout w:type="fixed"/>
      </w:tblPr>
      <w:tblGrid>
        <w:gridCol w:w="1320"/>
        <w:gridCol w:w="1320"/>
        <w:gridCol w:w="1320"/>
        <w:gridCol w:w="1320"/>
        <w:gridCol w:w="1320"/>
        <w:gridCol w:w="1320"/>
      </w:tblGrid>
      <w:tr>
        <w:trPr>
          <w:tblHeader w:val="true"/>
        </w:trPr>
        <w:tc>
          <w:tcPr/>
          <w:p>
            <w:pPr>
              <w:pStyle w:val="Compact"/>
              <w:jc w:val="left"/>
            </w:pPr>
            <w:r>
              <w:t xml:space="preserve">Tool</w:t>
            </w:r>
          </w:p>
        </w:tc>
        <w:tc>
          <w:tcPr/>
          <w:p>
            <w:pPr>
              <w:pStyle w:val="Compact"/>
              <w:jc w:val="left"/>
            </w:pPr>
            <w:r>
              <w:t xml:space="preserve">Strengths</w:t>
            </w:r>
          </w:p>
        </w:tc>
        <w:tc>
          <w:tcPr/>
          <w:p>
            <w:pPr>
              <w:pStyle w:val="Compact"/>
              <w:jc w:val="left"/>
            </w:pPr>
            <w:r>
              <w:t xml:space="preserve">Limitations</w:t>
            </w:r>
          </w:p>
        </w:tc>
        <w:tc>
          <w:tcPr/>
          <w:p>
            <w:pPr>
              <w:pStyle w:val="Compact"/>
              <w:jc w:val="left"/>
            </w:pPr>
            <w:r>
              <w:t xml:space="preserve">Cost model</w:t>
            </w:r>
          </w:p>
        </w:tc>
        <w:tc>
          <w:tcPr/>
          <w:p>
            <w:pPr>
              <w:pStyle w:val="Compact"/>
              <w:jc w:val="left"/>
            </w:pPr>
            <w:r>
              <w:t xml:space="preserve">Consistency method</w:t>
            </w:r>
          </w:p>
        </w:tc>
        <w:tc>
          <w:tcPr/>
          <w:p>
            <w:pPr>
              <w:pStyle w:val="Compact"/>
              <w:jc w:val="left"/>
            </w:pPr>
            <w:r>
              <w:t xml:space="preserve">Best output format</w:t>
            </w:r>
          </w:p>
        </w:tc>
      </w:tr>
      <w:tr>
        <w:tc>
          <w:tcPr/>
          <w:p>
            <w:pPr>
              <w:pStyle w:val="Compact"/>
              <w:jc w:val="left"/>
            </w:pPr>
            <w:r>
              <w:t xml:space="preserve">Midjourney (Discord or web)</w:t>
            </w:r>
          </w:p>
        </w:tc>
        <w:tc>
          <w:tcPr/>
          <w:p>
            <w:pPr>
              <w:pStyle w:val="Compact"/>
              <w:jc w:val="left"/>
            </w:pPr>
            <w:r>
              <w:t xml:space="preserve">Highest aesthetic quality, strong style control</w:t>
            </w:r>
          </w:p>
        </w:tc>
        <w:tc>
          <w:tcPr/>
          <w:p>
            <w:pPr>
              <w:pStyle w:val="Compact"/>
              <w:jc w:val="left"/>
            </w:pPr>
            <w:r>
              <w:t xml:space="preserve">Requires Discord fluency or web sub; character reference is newer</w:t>
            </w:r>
          </w:p>
        </w:tc>
        <w:tc>
          <w:tcPr/>
          <w:p>
            <w:pPr>
              <w:pStyle w:val="Compact"/>
              <w:jc w:val="left"/>
            </w:pPr>
            <w:r>
              <w:t xml:space="preserve">Subscription + fast hours</w:t>
            </w:r>
          </w:p>
        </w:tc>
        <w:tc>
          <w:tcPr/>
          <w:p>
            <w:pPr>
              <w:pStyle w:val="Compact"/>
              <w:jc w:val="left"/>
            </w:pPr>
            <w:r>
              <w:t xml:space="preserve">–cref / –cw, style reference, seed</w:t>
            </w:r>
          </w:p>
        </w:tc>
        <w:tc>
          <w:tcPr/>
          <w:p>
            <w:pPr>
              <w:pStyle w:val="Compact"/>
              <w:jc w:val="left"/>
            </w:pPr>
            <w:r>
              <w:t xml:space="preserve">PNG, square or 16:9</w:t>
            </w:r>
          </w:p>
        </w:tc>
      </w:tr>
      <w:tr>
        <w:tc>
          <w:tcPr/>
          <w:p>
            <w:pPr>
              <w:pStyle w:val="Compact"/>
              <w:jc w:val="left"/>
            </w:pPr>
            <w:r>
              <w:t xml:space="preserve">Flux (via Fal, Replicate, or Grok)</w:t>
            </w:r>
          </w:p>
        </w:tc>
        <w:tc>
          <w:tcPr/>
          <w:p>
            <w:pPr>
              <w:pStyle w:val="Compact"/>
              <w:jc w:val="left"/>
            </w:pPr>
            <w:r>
              <w:t xml:space="preserve">Excellent anatomy and text, fast</w:t>
            </w:r>
          </w:p>
        </w:tc>
        <w:tc>
          <w:tcPr/>
          <w:p>
            <w:pPr>
              <w:pStyle w:val="Compact"/>
              <w:jc w:val="left"/>
            </w:pPr>
            <w:r>
              <w:t xml:space="preserve">Newer ecosystem, fewer community styles</w:t>
            </w:r>
          </w:p>
        </w:tc>
        <w:tc>
          <w:tcPr/>
          <w:p>
            <w:pPr>
              <w:pStyle w:val="Compact"/>
              <w:jc w:val="left"/>
            </w:pPr>
            <w:r>
              <w:t xml:space="preserve">Per image or credit</w:t>
            </w:r>
          </w:p>
        </w:tc>
        <w:tc>
          <w:tcPr/>
          <w:p>
            <w:pPr>
              <w:pStyle w:val="Compact"/>
              <w:jc w:val="left"/>
            </w:pPr>
            <w:r>
              <w:t xml:space="preserve">Strong seed + prompt weighting</w:t>
            </w:r>
          </w:p>
        </w:tc>
        <w:tc>
          <w:tcPr/>
          <w:p>
            <w:pPr>
              <w:pStyle w:val="Compact"/>
              <w:jc w:val="left"/>
            </w:pPr>
            <w:r>
              <w:t xml:space="preserve">PNG</w:t>
            </w:r>
          </w:p>
        </w:tc>
      </w:tr>
      <w:tr>
        <w:tc>
          <w:tcPr/>
          <w:p>
            <w:pPr>
              <w:pStyle w:val="Compact"/>
              <w:jc w:val="left"/>
            </w:pPr>
            <w:r>
              <w:t xml:space="preserve">Stable Diffusion (local or Automatic1111 / Comfy)</w:t>
            </w:r>
          </w:p>
        </w:tc>
        <w:tc>
          <w:tcPr/>
          <w:p>
            <w:pPr>
              <w:pStyle w:val="Compact"/>
              <w:jc w:val="left"/>
            </w:pPr>
            <w:r>
              <w:t xml:space="preserve">Full control, LoRA training possible</w:t>
            </w:r>
          </w:p>
        </w:tc>
        <w:tc>
          <w:tcPr/>
          <w:p>
            <w:pPr>
              <w:pStyle w:val="Compact"/>
              <w:jc w:val="left"/>
            </w:pPr>
            <w:r>
              <w:t xml:space="preserve">Setup overhead, GPU required for best results</w:t>
            </w:r>
          </w:p>
        </w:tc>
        <w:tc>
          <w:tcPr/>
          <w:p>
            <w:pPr>
              <w:pStyle w:val="Compact"/>
              <w:jc w:val="left"/>
            </w:pPr>
            <w:r>
              <w:t xml:space="preserve">Electricity or cloud credits</w:t>
            </w:r>
          </w:p>
        </w:tc>
        <w:tc>
          <w:tcPr/>
          <w:p>
            <w:pPr>
              <w:pStyle w:val="Compact"/>
              <w:jc w:val="left"/>
            </w:pPr>
            <w:r>
              <w:t xml:space="preserve">LoRA training on your face, IPAdapter</w:t>
            </w:r>
          </w:p>
        </w:tc>
        <w:tc>
          <w:tcPr/>
          <w:p>
            <w:pPr>
              <w:pStyle w:val="Compact"/>
              <w:jc w:val="left"/>
            </w:pPr>
            <w:r>
              <w:t xml:space="preserve">Any size, transparent PNG possible</w:t>
            </w:r>
          </w:p>
        </w:tc>
      </w:tr>
      <w:tr>
        <w:tc>
          <w:tcPr/>
          <w:p>
            <w:pPr>
              <w:pStyle w:val="Compact"/>
              <w:jc w:val="left"/>
            </w:pPr>
            <w:r>
              <w:t xml:space="preserve">Lensa / Ready Player Me / Avatar SDKs</w:t>
            </w:r>
          </w:p>
        </w:tc>
        <w:tc>
          <w:tcPr/>
          <w:p>
            <w:pPr>
              <w:pStyle w:val="Compact"/>
              <w:jc w:val="left"/>
            </w:pPr>
            <w:r>
              <w:t xml:space="preserve">Fast selfie-to-avatar, easy for non-technical</w:t>
            </w:r>
          </w:p>
        </w:tc>
        <w:tc>
          <w:tcPr/>
          <w:p>
            <w:pPr>
              <w:pStyle w:val="Compact"/>
              <w:jc w:val="left"/>
            </w:pPr>
            <w:r>
              <w:t xml:space="preserve">Limited style range, less brand control</w:t>
            </w:r>
          </w:p>
        </w:tc>
        <w:tc>
          <w:tcPr/>
          <w:p>
            <w:pPr>
              <w:pStyle w:val="Compact"/>
              <w:jc w:val="left"/>
            </w:pPr>
            <w:r>
              <w:t xml:space="preserve">One-time or subscription</w:t>
            </w:r>
          </w:p>
        </w:tc>
        <w:tc>
          <w:tcPr/>
          <w:p>
            <w:pPr>
              <w:pStyle w:val="Compact"/>
              <w:jc w:val="left"/>
            </w:pPr>
            <w:r>
              <w:t xml:space="preserve">App-driven, limited prompts</w:t>
            </w:r>
          </w:p>
        </w:tc>
        <w:tc>
          <w:tcPr/>
          <w:p>
            <w:pPr>
              <w:pStyle w:val="Compact"/>
              <w:jc w:val="left"/>
            </w:pPr>
            <w:r>
              <w:t xml:space="preserve">PNG / glTF / web-ready</w:t>
            </w:r>
          </w:p>
        </w:tc>
      </w:tr>
      <w:tr>
        <w:tc>
          <w:tcPr/>
          <w:p>
            <w:pPr>
              <w:pStyle w:val="Compact"/>
              <w:jc w:val="left"/>
            </w:pPr>
            <w:r>
              <w:t xml:space="preserve">Leonardo.AI</w:t>
            </w:r>
          </w:p>
        </w:tc>
        <w:tc>
          <w:tcPr/>
          <w:p>
            <w:pPr>
              <w:pStyle w:val="Compact"/>
              <w:jc w:val="left"/>
            </w:pPr>
            <w:r>
              <w:t xml:space="preserve">Good character consistency tools, canvas editor</w:t>
            </w:r>
          </w:p>
        </w:tc>
        <w:tc>
          <w:tcPr/>
          <w:p>
            <w:pPr>
              <w:pStyle w:val="Compact"/>
              <w:jc w:val="left"/>
            </w:pPr>
            <w:r>
              <w:t xml:space="preserve">Can trend toward fantasy unless guided</w:t>
            </w:r>
          </w:p>
        </w:tc>
        <w:tc>
          <w:tcPr/>
          <w:p>
            <w:pPr>
              <w:pStyle w:val="Compact"/>
              <w:jc w:val="left"/>
            </w:pPr>
            <w:r>
              <w:t xml:space="preserve">Subscription + tokens</w:t>
            </w:r>
          </w:p>
        </w:tc>
        <w:tc>
          <w:tcPr/>
          <w:p>
            <w:pPr>
              <w:pStyle w:val="Compact"/>
              <w:jc w:val="left"/>
            </w:pPr>
            <w:r>
              <w:t xml:space="preserve">Character reference + alchemy</w:t>
            </w:r>
          </w:p>
        </w:tc>
        <w:tc>
          <w:tcPr/>
          <w:p>
            <w:pPr>
              <w:pStyle w:val="Compact"/>
              <w:jc w:val="left"/>
            </w:pPr>
            <w:r>
              <w:t xml:space="preserve">PNG</w:t>
            </w:r>
          </w:p>
        </w:tc>
      </w:tr>
    </w:tbl>
    <w:p>
      <w:pPr>
        <w:pStyle w:val="BodyText"/>
      </w:pPr>
      <w:r>
        <w:rPr>
          <w:bCs/>
          <w:b/>
        </w:rPr>
        <w:t xml:space="preserve">Your primary tool:</w:t>
      </w:r>
      <w:r>
        <w:t xml:space="preserve"> </w:t>
      </w:r>
      <w:r>
        <w:t xml:space="preserve">[[Tool name]] — because [[reason tied to your style and skill level]]</w:t>
      </w:r>
    </w:p>
    <w:p>
      <w:pPr>
        <w:pStyle w:val="BodyText"/>
      </w:pPr>
      <w:r>
        <w:rPr>
          <w:bCs/>
          <w:b/>
        </w:rPr>
        <w:t xml:space="preserve">Backup tool:</w:t>
      </w:r>
      <w:r>
        <w:t xml:space="preserve"> </w:t>
      </w:r>
      <w:r>
        <w:t xml:space="preserve">[[Tool name]]</w:t>
      </w:r>
    </w:p>
    <w:bookmarkEnd w:id="23"/>
    <w:bookmarkEnd w:id="24"/>
    <w:bookmarkStart w:id="25" w:name="X5a52bd94edaed4d107c19c21e7d2abe4a946654"/>
    <w:p>
      <w:pPr>
        <w:pStyle w:val="Heading2"/>
      </w:pPr>
      <w:r>
        <w:t xml:space="preserve">Section 3 — Prompt Formula with Consistency Anchors</w:t>
      </w:r>
    </w:p>
    <w:p>
      <w:pPr>
        <w:pStyle w:val="FirstParagraph"/>
      </w:pPr>
      <w:r>
        <w:t xml:space="preserve">A good avatar prompt has fixed anchors that stay the same across all generations + variables you change per use.</w:t>
      </w:r>
    </w:p>
    <w:p>
      <w:pPr>
        <w:pStyle w:val="BodyText"/>
      </w:pPr>
      <w:r>
        <w:rPr>
          <w:bCs/>
          <w:b/>
        </w:rPr>
        <w:t xml:space="preserve">Base prompt formula (copy and adapt to your tool):</w:t>
      </w:r>
    </w:p>
    <w:p>
      <w:pPr>
        <w:pStyle w:val="BodyText"/>
      </w:pPr>
      <w:r>
        <w:t xml:space="preserve">“</w:t>
      </w:r>
      <w:r>
        <w:t xml:space="preserve">[[Age and gender appearance, e.g. Professional woman in her mid-30s with warm medium skin tone, shoulder-length dark wavy hair, friendly confident expression]], [[detailed face description: high cheekbones, subtle smile, bright intelligent eyes]], wearing [[clothing or style cue that matches use, e.g. tailored navy blazer over soft white tee]], [[lighting: soft natural window light, clean modern studio background in brand colors [[teal and warm gray]]]], [[camera: head-and-shoulders portrait, shallow depth of field, 85mm lens, sharp focus on eyes]], [[vibe: approachable expert, calm authority, modern professional]], [[quality boosters: highly detailed, natural skin texture, cinematic color grade, 8k]] –ar 1:1 –stylize 250 –v 6</w:t>
      </w:r>
      <w:r>
        <w:t xml:space="preserve">”</w:t>
      </w:r>
    </w:p>
    <w:p>
      <w:pPr>
        <w:pStyle w:val="BodyText"/>
      </w:pPr>
      <w:r>
        <w:rPr>
          <w:bCs/>
          <w:b/>
        </w:rPr>
        <w:t xml:space="preserve">Consistency anchors (never change these across a set):</w:t>
      </w:r>
    </w:p>
    <w:p>
      <w:pPr>
        <w:numPr>
          <w:ilvl w:val="0"/>
          <w:numId w:val="1002"/>
        </w:numPr>
      </w:pPr>
      <w:r>
        <w:t xml:space="preserve">Core face description block (the 15-25 words that define</w:t>
      </w:r>
      <w:r>
        <w:t xml:space="preserve"> </w:t>
      </w:r>
      <w:r>
        <w:t xml:space="preserve">“</w:t>
      </w:r>
      <w:r>
        <w:t xml:space="preserve">you</w:t>
      </w:r>
      <w:r>
        <w:t xml:space="preserve">”</w:t>
      </w:r>
      <w:r>
        <w:t xml:space="preserve">).</w:t>
      </w:r>
    </w:p>
    <w:p>
      <w:pPr>
        <w:numPr>
          <w:ilvl w:val="0"/>
          <w:numId w:val="1002"/>
        </w:numPr>
      </w:pPr>
      <w:r>
        <w:t xml:space="preserve">Skin tone, hair length/style, eye color, signature facial feature.</w:t>
      </w:r>
    </w:p>
    <w:p>
      <w:pPr>
        <w:numPr>
          <w:ilvl w:val="0"/>
          <w:numId w:val="1002"/>
        </w:numPr>
      </w:pPr>
      <w:r>
        <w:t xml:space="preserve">Overall lighting direction and color temperature.</w:t>
      </w:r>
    </w:p>
    <w:p>
      <w:pPr>
        <w:numPr>
          <w:ilvl w:val="0"/>
          <w:numId w:val="1002"/>
        </w:numPr>
      </w:pPr>
      <w:r>
        <w:t xml:space="preserve">Camera framing and lens feel.</w:t>
      </w:r>
    </w:p>
    <w:p>
      <w:pPr>
        <w:numPr>
          <w:ilvl w:val="0"/>
          <w:numId w:val="1002"/>
        </w:numPr>
      </w:pPr>
      <w:r>
        <w:t xml:space="preserve">Quality and detail boosters at the end.</w:t>
      </w:r>
    </w:p>
    <w:p>
      <w:pPr>
        <w:pStyle w:val="FirstParagraph"/>
      </w:pPr>
      <w:r>
        <w:rPr>
          <w:bCs/>
          <w:b/>
        </w:rPr>
        <w:t xml:space="preserve">Variable parts you change per avatar set:</w:t>
      </w:r>
    </w:p>
    <w:p>
      <w:pPr>
        <w:numPr>
          <w:ilvl w:val="0"/>
          <w:numId w:val="1003"/>
        </w:numPr>
      </w:pPr>
      <w:r>
        <w:t xml:space="preserve">Clothing and grooming to match context (casual, formal, creative).</w:t>
      </w:r>
    </w:p>
    <w:p>
      <w:pPr>
        <w:numPr>
          <w:ilvl w:val="0"/>
          <w:numId w:val="1003"/>
        </w:numPr>
      </w:pPr>
      <w:r>
        <w:t xml:space="preserve">Background or environment.</w:t>
      </w:r>
    </w:p>
    <w:p>
      <w:pPr>
        <w:numPr>
          <w:ilvl w:val="0"/>
          <w:numId w:val="1003"/>
        </w:numPr>
      </w:pPr>
      <w:r>
        <w:t xml:space="preserve">Pose or expression micro-variations.</w:t>
      </w:r>
    </w:p>
    <w:p>
      <w:pPr>
        <w:numPr>
          <w:ilvl w:val="0"/>
          <w:numId w:val="1003"/>
        </w:numPr>
      </w:pPr>
      <w:r>
        <w:t xml:space="preserve">Aspect ratio for different platforms.</w:t>
      </w:r>
    </w:p>
    <w:p>
      <w:pPr>
        <w:numPr>
          <w:ilvl w:val="0"/>
          <w:numId w:val="1003"/>
        </w:numPr>
      </w:pPr>
      <w:r>
        <w:t xml:space="preserve">Stylization strength if your tool supports it.</w:t>
      </w:r>
    </w:p>
    <w:bookmarkEnd w:id="25"/>
    <w:bookmarkStart w:id="26" w:name="Xc02a059d62c437a1419acd27c77ecfbaf4f790d"/>
    <w:p>
      <w:pPr>
        <w:pStyle w:val="Heading2"/>
      </w:pPr>
      <w:r>
        <w:t xml:space="preserve">Section 4 — Output Format and Technical Specs</w:t>
      </w:r>
    </w:p>
    <w:p>
      <w:pPr>
        <w:pStyle w:val="FirstParagraph"/>
      </w:pPr>
      <w:r>
        <w:rPr>
          <w:bCs/>
          <w:b/>
        </w:rPr>
        <w:t xml:space="preserve">Standard output for most profile and content use:</w:t>
      </w:r>
    </w:p>
    <w:p>
      <w:pPr>
        <w:numPr>
          <w:ilvl w:val="0"/>
          <w:numId w:val="1004"/>
        </w:numPr>
      </w:pPr>
      <w:r>
        <w:t xml:space="preserve">Format: PNG with transparency where appropriate (headshots usually opaque)</w:t>
      </w:r>
    </w:p>
    <w:p>
      <w:pPr>
        <w:numPr>
          <w:ilvl w:val="0"/>
          <w:numId w:val="1004"/>
        </w:numPr>
      </w:pPr>
      <w:r>
        <w:t xml:space="preserve">Dimensions: 1024x1024 or 2048x2048 for profiles; 1200x630 or 1080x1350 for social</w:t>
      </w:r>
    </w:p>
    <w:p>
      <w:pPr>
        <w:numPr>
          <w:ilvl w:val="0"/>
          <w:numId w:val="1004"/>
        </w:numPr>
      </w:pPr>
      <w:r>
        <w:t xml:space="preserve">Color profile: sRGB</w:t>
      </w:r>
    </w:p>
    <w:p>
      <w:pPr>
        <w:numPr>
          <w:ilvl w:val="0"/>
          <w:numId w:val="1004"/>
        </w:numPr>
      </w:pPr>
      <w:r>
        <w:t xml:space="preserve">Background: clean neutral or subtle brand gradient unless environment is part of the concept</w:t>
      </w:r>
    </w:p>
    <w:p>
      <w:pPr>
        <w:pStyle w:val="FirstParagraph"/>
      </w:pPr>
      <w:r>
        <w:rPr>
          <w:bCs/>
          <w:b/>
        </w:rPr>
        <w:t xml:space="preserve">Platform-specific recommendations:</w:t>
      </w:r>
    </w:p>
    <w:tbl>
      <w:tblPr>
        <w:tblStyle w:val="Table"/>
        <w:tblW w:type="pct" w:w="5000"/>
        <w:tblLook w:firstRow="1" w:lastRow="0" w:firstColumn="0" w:lastColumn="0" w:noHBand="0" w:noVBand="0" w:val="0020"/>
        <w:jc w:val="start"/>
        <w:tblLayout w:type="fixed"/>
      </w:tblPr>
      <w:tblGrid>
        <w:gridCol w:w="1980"/>
        <w:gridCol w:w="1980"/>
        <w:gridCol w:w="1980"/>
        <w:gridCol w:w="1980"/>
      </w:tblGrid>
      <w:tr>
        <w:trPr>
          <w:tblHeader w:val="true"/>
        </w:trPr>
        <w:tc>
          <w:tcPr/>
          <w:p>
            <w:pPr>
              <w:pStyle w:val="Compact"/>
              <w:jc w:val="left"/>
            </w:pPr>
            <w:r>
              <w:t xml:space="preserve">Use</w:t>
            </w:r>
          </w:p>
        </w:tc>
        <w:tc>
          <w:tcPr/>
          <w:p>
            <w:pPr>
              <w:pStyle w:val="Compact"/>
              <w:jc w:val="left"/>
            </w:pPr>
            <w:r>
              <w:t xml:space="preserve">Recommended size</w:t>
            </w:r>
          </w:p>
        </w:tc>
        <w:tc>
          <w:tcPr/>
          <w:p>
            <w:pPr>
              <w:pStyle w:val="Compact"/>
              <w:jc w:val="left"/>
            </w:pPr>
            <w:r>
              <w:t xml:space="preserve">Aspect</w:t>
            </w:r>
          </w:p>
        </w:tc>
        <w:tc>
          <w:tcPr/>
          <w:p>
            <w:pPr>
              <w:pStyle w:val="Compact"/>
              <w:jc w:val="left"/>
            </w:pPr>
            <w:r>
              <w:t xml:space="preserve">Background treatment</w:t>
            </w:r>
          </w:p>
        </w:tc>
      </w:tr>
      <w:tr>
        <w:tc>
          <w:tcPr/>
          <w:p>
            <w:pPr>
              <w:pStyle w:val="Compact"/>
              <w:jc w:val="left"/>
            </w:pPr>
            <w:r>
              <w:t xml:space="preserve">LinkedIn / Twitter profile</w:t>
            </w:r>
          </w:p>
        </w:tc>
        <w:tc>
          <w:tcPr/>
          <w:p>
            <w:pPr>
              <w:pStyle w:val="Compact"/>
              <w:jc w:val="left"/>
            </w:pPr>
            <w:r>
              <w:t xml:space="preserve">400x400 min, upload 1024</w:t>
            </w:r>
          </w:p>
        </w:tc>
        <w:tc>
          <w:tcPr/>
          <w:p>
            <w:pPr>
              <w:pStyle w:val="Compact"/>
              <w:jc w:val="left"/>
            </w:pPr>
            <w:r>
              <w:t xml:space="preserve">1:1</w:t>
            </w:r>
          </w:p>
        </w:tc>
        <w:tc>
          <w:tcPr/>
          <w:p>
            <w:pPr>
              <w:pStyle w:val="Compact"/>
              <w:jc w:val="left"/>
            </w:pPr>
            <w:r>
              <w:t xml:space="preserve">Clean or soft gradient</w:t>
            </w:r>
          </w:p>
        </w:tc>
      </w:tr>
      <w:tr>
        <w:tc>
          <w:tcPr/>
          <w:p>
            <w:pPr>
              <w:pStyle w:val="Compact"/>
              <w:jc w:val="left"/>
            </w:pPr>
            <w:r>
              <w:t xml:space="preserve">Website team page</w:t>
            </w:r>
          </w:p>
        </w:tc>
        <w:tc>
          <w:tcPr/>
          <w:p>
            <w:pPr>
              <w:pStyle w:val="Compact"/>
              <w:jc w:val="left"/>
            </w:pPr>
            <w:r>
              <w:t xml:space="preserve">800-1200 wide</w:t>
            </w:r>
          </w:p>
        </w:tc>
        <w:tc>
          <w:tcPr/>
          <w:p>
            <w:pPr>
              <w:pStyle w:val="Compact"/>
              <w:jc w:val="left"/>
            </w:pPr>
            <w:r>
              <w:t xml:space="preserve">1:1 or 4:3</w:t>
            </w:r>
          </w:p>
        </w:tc>
        <w:tc>
          <w:tcPr/>
          <w:p>
            <w:pPr>
              <w:pStyle w:val="Compact"/>
              <w:jc w:val="left"/>
            </w:pPr>
            <w:r>
              <w:t xml:space="preserve">Subtle brand or none</w:t>
            </w:r>
          </w:p>
        </w:tc>
      </w:tr>
      <w:tr>
        <w:tc>
          <w:tcPr/>
          <w:p>
            <w:pPr>
              <w:pStyle w:val="Compact"/>
              <w:jc w:val="left"/>
            </w:pPr>
            <w:r>
              <w:t xml:space="preserve">YouTube thumbnail</w:t>
            </w:r>
          </w:p>
        </w:tc>
        <w:tc>
          <w:tcPr/>
          <w:p>
            <w:pPr>
              <w:pStyle w:val="Compact"/>
              <w:jc w:val="left"/>
            </w:pPr>
            <w:r>
              <w:t xml:space="preserve">1280x720</w:t>
            </w:r>
          </w:p>
        </w:tc>
        <w:tc>
          <w:tcPr/>
          <w:p>
            <w:pPr>
              <w:pStyle w:val="Compact"/>
              <w:jc w:val="left"/>
            </w:pPr>
            <w:r>
              <w:t xml:space="preserve">16:9</w:t>
            </w:r>
          </w:p>
        </w:tc>
        <w:tc>
          <w:tcPr/>
          <w:p>
            <w:pPr>
              <w:pStyle w:val="Compact"/>
              <w:jc w:val="left"/>
            </w:pPr>
            <w:r>
              <w:t xml:space="preserve">Often includes text space or graphic</w:t>
            </w:r>
          </w:p>
        </w:tc>
      </w:tr>
      <w:tr>
        <w:tc>
          <w:tcPr/>
          <w:p>
            <w:pPr>
              <w:pStyle w:val="Compact"/>
              <w:jc w:val="left"/>
            </w:pPr>
            <w:r>
              <w:t xml:space="preserve">Blog hero</w:t>
            </w:r>
          </w:p>
        </w:tc>
        <w:tc>
          <w:tcPr/>
          <w:p>
            <w:pPr>
              <w:pStyle w:val="Compact"/>
              <w:jc w:val="left"/>
            </w:pPr>
            <w:r>
              <w:t xml:space="preserve">1600x900 or wider</w:t>
            </w:r>
          </w:p>
        </w:tc>
        <w:tc>
          <w:tcPr/>
          <w:p>
            <w:pPr>
              <w:pStyle w:val="Compact"/>
              <w:jc w:val="left"/>
            </w:pPr>
            <w:r>
              <w:t xml:space="preserve">16:9 or 2:1</w:t>
            </w:r>
          </w:p>
        </w:tc>
        <w:tc>
          <w:tcPr/>
          <w:p>
            <w:pPr>
              <w:pStyle w:val="Compact"/>
              <w:jc w:val="left"/>
            </w:pPr>
            <w:r>
              <w:t xml:space="preserve">Environmental or solid</w:t>
            </w:r>
          </w:p>
        </w:tc>
      </w:tr>
      <w:tr>
        <w:tc>
          <w:tcPr/>
          <w:p>
            <w:pPr>
              <w:pStyle w:val="Compact"/>
              <w:jc w:val="left"/>
            </w:pPr>
            <w:r>
              <w:t xml:space="preserve">Instagram post</w:t>
            </w:r>
          </w:p>
        </w:tc>
        <w:tc>
          <w:tcPr/>
          <w:p>
            <w:pPr>
              <w:pStyle w:val="Compact"/>
              <w:jc w:val="left"/>
            </w:pPr>
            <w:r>
              <w:t xml:space="preserve">1080x1080 or 1080x1350</w:t>
            </w:r>
          </w:p>
        </w:tc>
        <w:tc>
          <w:tcPr/>
          <w:p>
            <w:pPr>
              <w:pStyle w:val="Compact"/>
              <w:jc w:val="left"/>
            </w:pPr>
            <w:r>
              <w:t xml:space="preserve">1:1 or 4:5</w:t>
            </w:r>
          </w:p>
        </w:tc>
        <w:tc>
          <w:tcPr/>
          <w:p>
            <w:pPr>
              <w:pStyle w:val="Compact"/>
              <w:jc w:val="left"/>
            </w:pPr>
            <w:r>
              <w:t xml:space="preserve">Strong contrast</w:t>
            </w:r>
          </w:p>
        </w:tc>
      </w:tr>
    </w:tbl>
    <w:p>
      <w:pPr>
        <w:pStyle w:val="BodyText"/>
      </w:pPr>
      <w:r>
        <w:rPr>
          <w:bCs/>
          <w:b/>
        </w:rPr>
        <w:t xml:space="preserve">File naming convention:</w:t>
      </w:r>
    </w:p>
    <w:p>
      <w:pPr>
        <w:pStyle w:val="BodyText"/>
      </w:pPr>
      <w:r>
        <w:t xml:space="preserve">avatar-[[your-name-slug]]-[[style-short]]-[[use-short]]-v[[version]].png</w:t>
      </w:r>
    </w:p>
    <w:p>
      <w:pPr>
        <w:pStyle w:val="BodyText"/>
      </w:pPr>
      <w:r>
        <w:t xml:space="preserve">Example: avatar-alex-chen-realistic-professional-v3.png</w:t>
      </w:r>
    </w:p>
    <w:bookmarkEnd w:id="26"/>
    <w:bookmarkStart w:id="27" w:name="section-5-variations-set-strategy"/>
    <w:p>
      <w:pPr>
        <w:pStyle w:val="Heading2"/>
      </w:pPr>
      <w:r>
        <w:t xml:space="preserve">Section 5 — Variations Set Strategy</w:t>
      </w:r>
    </w:p>
    <w:p>
      <w:pPr>
        <w:pStyle w:val="FirstParagraph"/>
      </w:pPr>
      <w:r>
        <w:t xml:space="preserve">Never publish a single avatar. Generate a controlled set.</w:t>
      </w:r>
    </w:p>
    <w:p>
      <w:pPr>
        <w:pStyle w:val="BodyText"/>
      </w:pPr>
      <w:r>
        <w:rPr>
          <w:bCs/>
          <w:b/>
        </w:rPr>
        <w:t xml:space="preserve">Minimum recommended set per person/brand character:</w:t>
      </w:r>
    </w:p>
    <w:p>
      <w:pPr>
        <w:numPr>
          <w:ilvl w:val="0"/>
          <w:numId w:val="1005"/>
        </w:numPr>
      </w:pPr>
      <w:r>
        <w:t xml:space="preserve">Primary headshot (neutral professional expression, direct gaze)</w:t>
      </w:r>
    </w:p>
    <w:p>
      <w:pPr>
        <w:numPr>
          <w:ilvl w:val="0"/>
          <w:numId w:val="1005"/>
        </w:numPr>
      </w:pPr>
      <w:r>
        <w:t xml:space="preserve">Warm / smiling version for friendly contexts</w:t>
      </w:r>
    </w:p>
    <w:p>
      <w:pPr>
        <w:numPr>
          <w:ilvl w:val="0"/>
          <w:numId w:val="1005"/>
        </w:numPr>
      </w:pPr>
      <w:r>
        <w:t xml:space="preserve">Slight three-quarter angle for dynamic use</w:t>
      </w:r>
    </w:p>
    <w:p>
      <w:pPr>
        <w:numPr>
          <w:ilvl w:val="0"/>
          <w:numId w:val="1005"/>
        </w:numPr>
      </w:pPr>
      <w:r>
        <w:t xml:space="preserve">One</w:t>
      </w:r>
      <w:r>
        <w:t xml:space="preserve"> </w:t>
      </w:r>
      <w:r>
        <w:t xml:space="preserve">“</w:t>
      </w:r>
      <w:r>
        <w:t xml:space="preserve">action</w:t>
      </w:r>
      <w:r>
        <w:t xml:space="preserve">”</w:t>
      </w:r>
      <w:r>
        <w:t xml:space="preserve"> </w:t>
      </w:r>
      <w:r>
        <w:t xml:space="preserve">or contextual version (holding laptop, on stage, etc.) if relevant to brand</w:t>
      </w:r>
    </w:p>
    <w:p>
      <w:pPr>
        <w:numPr>
          <w:ilvl w:val="0"/>
          <w:numId w:val="1005"/>
        </w:numPr>
      </w:pPr>
      <w:r>
        <w:t xml:space="preserve">One high-contrast or darker background version for light text overlays</w:t>
      </w:r>
    </w:p>
    <w:p>
      <w:pPr>
        <w:pStyle w:val="FirstParagraph"/>
      </w:pPr>
      <w:r>
        <w:rPr>
          <w:bCs/>
          <w:b/>
        </w:rPr>
        <w:t xml:space="preserve">How to generate consistent variations:</w:t>
      </w:r>
    </w:p>
    <w:p>
      <w:pPr>
        <w:numPr>
          <w:ilvl w:val="0"/>
          <w:numId w:val="1006"/>
        </w:numPr>
      </w:pPr>
      <w:r>
        <w:t xml:space="preserve">Use the same seed + character reference when tool supports it.</w:t>
      </w:r>
    </w:p>
    <w:p>
      <w:pPr>
        <w:numPr>
          <w:ilvl w:val="0"/>
          <w:numId w:val="1006"/>
        </w:numPr>
      </w:pPr>
      <w:r>
        <w:t xml:space="preserve">Keep the first 60-70% of the prompt identical.</w:t>
      </w:r>
    </w:p>
    <w:p>
      <w:pPr>
        <w:numPr>
          <w:ilvl w:val="0"/>
          <w:numId w:val="1006"/>
        </w:numPr>
      </w:pPr>
      <w:r>
        <w:t xml:space="preserve">Change only clothing, expression, or background in later clauses.</w:t>
      </w:r>
    </w:p>
    <w:p>
      <w:pPr>
        <w:numPr>
          <w:ilvl w:val="0"/>
          <w:numId w:val="1006"/>
        </w:numPr>
      </w:pPr>
      <w:r>
        <w:t xml:space="preserve">Generate 6-8 candidates, pick the best 3-4.</w:t>
      </w:r>
    </w:p>
    <w:bookmarkEnd w:id="27"/>
    <w:bookmarkStart w:id="28" w:name="section-6-brand-and-vibe-alignment"/>
    <w:p>
      <w:pPr>
        <w:pStyle w:val="Heading2"/>
      </w:pPr>
      <w:r>
        <w:t xml:space="preserve">Section 6 — Brand and Vibe Alignment</w:t>
      </w:r>
    </w:p>
    <w:p>
      <w:pPr>
        <w:pStyle w:val="FirstParagraph"/>
      </w:pPr>
      <w:r>
        <w:rPr>
          <w:bCs/>
          <w:b/>
        </w:rPr>
        <w:t xml:space="preserve">Vibe keywords you supplied:</w:t>
      </w:r>
      <w:r>
        <w:t xml:space="preserve"> </w:t>
      </w:r>
      <w:r>
        <w:t xml:space="preserve">[[warm, confident, modern, approachable]]</w:t>
      </w:r>
    </w:p>
    <w:p>
      <w:pPr>
        <w:pStyle w:val="BodyText"/>
      </w:pPr>
      <w:r>
        <w:rPr>
          <w:bCs/>
          <w:b/>
        </w:rPr>
        <w:t xml:space="preserve">Translate vibe into visual decisions:</w:t>
      </w:r>
    </w:p>
    <w:p>
      <w:pPr>
        <w:numPr>
          <w:ilvl w:val="0"/>
          <w:numId w:val="1007"/>
        </w:numPr>
      </w:pPr>
      <w:r>
        <w:t xml:space="preserve">Expression: [[subtle confident smile vs neutral authority]]</w:t>
      </w:r>
    </w:p>
    <w:p>
      <w:pPr>
        <w:numPr>
          <w:ilvl w:val="0"/>
          <w:numId w:val="1007"/>
        </w:numPr>
      </w:pPr>
      <w:r>
        <w:t xml:space="preserve">Lighting: [[soft natural vs dramatic key light]]</w:t>
      </w:r>
    </w:p>
    <w:p>
      <w:pPr>
        <w:numPr>
          <w:ilvl w:val="0"/>
          <w:numId w:val="1007"/>
        </w:numPr>
      </w:pPr>
      <w:r>
        <w:t xml:space="preserve">Color: [[restricted to brand palette vs complementary accent]]</w:t>
      </w:r>
    </w:p>
    <w:p>
      <w:pPr>
        <w:numPr>
          <w:ilvl w:val="0"/>
          <w:numId w:val="1007"/>
        </w:numPr>
      </w:pPr>
      <w:r>
        <w:t xml:space="preserve">Grooming and clothing: [[business casual elevated vs creative industry relaxed]]</w:t>
      </w:r>
    </w:p>
    <w:p>
      <w:pPr>
        <w:pStyle w:val="FirstParagraph"/>
      </w:pPr>
      <w:r>
        <w:rPr>
          <w:bCs/>
          <w:b/>
        </w:rPr>
        <w:t xml:space="preserve">Brand alignment checklist (run before final export):</w:t>
      </w:r>
    </w:p>
    <w:p>
      <w:pPr>
        <w:numPr>
          <w:ilvl w:val="0"/>
          <w:numId w:val="1008"/>
        </w:numPr>
      </w:pPr>
      <w:r>
        <w:t xml:space="preserve">Does the color temperature match existing brand photography?</w:t>
      </w:r>
    </w:p>
    <w:p>
      <w:pPr>
        <w:numPr>
          <w:ilvl w:val="0"/>
          <w:numId w:val="1008"/>
        </w:numPr>
      </w:pPr>
      <w:r>
        <w:t xml:space="preserve">Does clothing feel like the brand’s audience would expect?</w:t>
      </w:r>
    </w:p>
    <w:p>
      <w:pPr>
        <w:numPr>
          <w:ilvl w:val="0"/>
          <w:numId w:val="1008"/>
        </w:numPr>
      </w:pPr>
      <w:r>
        <w:t xml:space="preserve">Is the expression consistent with the tone of your copy (friendly vs serious)?</w:t>
      </w:r>
    </w:p>
    <w:p>
      <w:pPr>
        <w:numPr>
          <w:ilvl w:val="0"/>
          <w:numId w:val="1008"/>
        </w:numPr>
      </w:pPr>
      <w:r>
        <w:t xml:space="preserve">Would this read correctly at 80px thumbnail size?</w:t>
      </w:r>
    </w:p>
    <w:p>
      <w:pPr>
        <w:numPr>
          <w:ilvl w:val="0"/>
          <w:numId w:val="1008"/>
        </w:numPr>
      </w:pPr>
      <w:r>
        <w:t xml:space="preserve">Does it feel like the same person across the full set?</w:t>
      </w:r>
    </w:p>
    <w:p>
      <w:pPr>
        <w:pStyle w:val="FirstParagraph"/>
      </w:pPr>
      <w:r>
        <w:rPr>
          <w:bCs/>
          <w:b/>
        </w:rPr>
        <w:t xml:space="preserve">If misaligned:</w:t>
      </w:r>
      <w:r>
        <w:t xml:space="preserve"> </w:t>
      </w:r>
      <w:r>
        <w:t xml:space="preserve">Adjust one variable at a time (usually clothing or background first) and regenerate only the affected images.</w:t>
      </w:r>
    </w:p>
    <w:bookmarkEnd w:id="28"/>
    <w:bookmarkStart w:id="29" w:name="section-7-step-by-step-creation-workflow"/>
    <w:p>
      <w:pPr>
        <w:pStyle w:val="Heading2"/>
      </w:pPr>
      <w:r>
        <w:t xml:space="preserve">Section 7 — Step-by-Step Creation Workflow</w:t>
      </w:r>
    </w:p>
    <w:p>
      <w:pPr>
        <w:numPr>
          <w:ilvl w:val="0"/>
          <w:numId w:val="1009"/>
        </w:numPr>
      </w:pPr>
      <w:r>
        <w:t xml:space="preserve">Write your fixed face description block once and save it.</w:t>
      </w:r>
    </w:p>
    <w:p>
      <w:pPr>
        <w:numPr>
          <w:ilvl w:val="0"/>
          <w:numId w:val="1009"/>
        </w:numPr>
      </w:pPr>
      <w:r>
        <w:t xml:space="preserve">Choose primary tool and create a project/folder for this avatar.</w:t>
      </w:r>
    </w:p>
    <w:p>
      <w:pPr>
        <w:numPr>
          <w:ilvl w:val="0"/>
          <w:numId w:val="1009"/>
        </w:numPr>
      </w:pPr>
      <w:r>
        <w:t xml:space="preserve">Generate the primary headshot using the full formula. Iterate until eyes, skin, and expression are correct (this is the anchor).</w:t>
      </w:r>
    </w:p>
    <w:p>
      <w:pPr>
        <w:numPr>
          <w:ilvl w:val="0"/>
          <w:numId w:val="1009"/>
        </w:numPr>
      </w:pPr>
      <w:r>
        <w:t xml:space="preserve">Lock character reference or seed from the winning image.</w:t>
      </w:r>
    </w:p>
    <w:p>
      <w:pPr>
        <w:numPr>
          <w:ilvl w:val="0"/>
          <w:numId w:val="1009"/>
        </w:numPr>
      </w:pPr>
      <w:r>
        <w:t xml:space="preserve">Generate the remaining variations by editing only the variable clauses.</w:t>
      </w:r>
    </w:p>
    <w:p>
      <w:pPr>
        <w:numPr>
          <w:ilvl w:val="0"/>
          <w:numId w:val="1009"/>
        </w:numPr>
      </w:pPr>
      <w:r>
        <w:t xml:space="preserve">Export at multiple sizes. Create web-optimized versions.</w:t>
      </w:r>
    </w:p>
    <w:p>
      <w:pPr>
        <w:numPr>
          <w:ilvl w:val="0"/>
          <w:numId w:val="1009"/>
        </w:numPr>
      </w:pPr>
      <w:r>
        <w:t xml:space="preserve">Run the brand alignment checklist.</w:t>
      </w:r>
    </w:p>
    <w:p>
      <w:pPr>
        <w:numPr>
          <w:ilvl w:val="0"/>
          <w:numId w:val="1009"/>
        </w:numPr>
      </w:pPr>
      <w:r>
        <w:t xml:space="preserve">Store master files + prompt text in a dedicated folder for future refreshes.</w:t>
      </w:r>
    </w:p>
    <w:p>
      <w:pPr>
        <w:pStyle w:val="FirstParagraph"/>
      </w:pPr>
      <w:r>
        <w:rPr>
          <w:bCs/>
          <w:b/>
        </w:rPr>
        <w:t xml:space="preserve">Numbered regeneration protocol when one image is off:</w:t>
      </w:r>
    </w:p>
    <w:p>
      <w:pPr>
        <w:numPr>
          <w:ilvl w:val="0"/>
          <w:numId w:val="1010"/>
        </w:numPr>
      </w:pPr>
      <w:r>
        <w:t xml:space="preserve">Identify the single weakest element (eyes look dead, hair merges with bg, etc.).</w:t>
      </w:r>
    </w:p>
    <w:p>
      <w:pPr>
        <w:numPr>
          <w:ilvl w:val="0"/>
          <w:numId w:val="1010"/>
        </w:numPr>
      </w:pPr>
      <w:r>
        <w:t xml:space="preserve">Strengthen only that part of the prompt or weight.</w:t>
      </w:r>
    </w:p>
    <w:p>
      <w:pPr>
        <w:numPr>
          <w:ilvl w:val="0"/>
          <w:numId w:val="1010"/>
        </w:numPr>
      </w:pPr>
      <w:r>
        <w:t xml:space="preserve">Regenerate with same seed/reference.</w:t>
      </w:r>
    </w:p>
    <w:p>
      <w:pPr>
        <w:numPr>
          <w:ilvl w:val="0"/>
          <w:numId w:val="1010"/>
        </w:numPr>
      </w:pPr>
      <w:r>
        <w:t xml:space="preserve">Accept only if the change fixes the problem without breaking other anchors.</w:t>
      </w:r>
    </w:p>
    <w:bookmarkEnd w:id="29"/>
    <w:bookmarkStart w:id="30" w:name="section-8-prompt-library-starters"/>
    <w:p>
      <w:pPr>
        <w:pStyle w:val="Heading2"/>
      </w:pPr>
      <w:r>
        <w:t xml:space="preserve">Section 8 — Prompt Library Starters</w:t>
      </w:r>
    </w:p>
    <w:p>
      <w:pPr>
        <w:pStyle w:val="FirstParagraph"/>
      </w:pPr>
      <w:r>
        <w:rPr>
          <w:bCs/>
          <w:b/>
        </w:rPr>
        <w:t xml:space="preserve">Professional profile (realistic, Midjourney-style):</w:t>
      </w:r>
    </w:p>
    <w:p>
      <w:pPr>
        <w:pStyle w:val="BodyText"/>
      </w:pPr>
      <w:r>
        <w:t xml:space="preserve">“</w:t>
      </w:r>
      <w:r>
        <w:t xml:space="preserve">[[Detailed face description]], professional woman in her early 40s, confident calm expression, wearing tailored charcoal blazer and soft ivory top, soft natural daylight from large window, clean modern office background with subtle teal accent wall, head and shoulders, sharp focus on eyes, natural skin texture, friendly authority, 8k –ar 1:1 –stylize 150</w:t>
      </w:r>
      <w:r>
        <w:t xml:space="preserve">”</w:t>
      </w:r>
    </w:p>
    <w:p>
      <w:pPr>
        <w:pStyle w:val="BodyText"/>
      </w:pPr>
      <w:r>
        <w:rPr>
          <w:bCs/>
          <w:b/>
        </w:rPr>
        <w:t xml:space="preserve">Creative content avatar (stylized 3D):</w:t>
      </w:r>
    </w:p>
    <w:p>
      <w:pPr>
        <w:pStyle w:val="BodyText"/>
      </w:pPr>
      <w:r>
        <w:t xml:space="preserve">“</w:t>
      </w:r>
      <w:r>
        <w:t xml:space="preserve">[[Face description]], friendly creator in her late 20s, playful confident smile, wearing modern casual outfit in brand colors, vibrant 3D Pixar style, clean minimalist background with floating subtle geometric shapes in teal and coral, three-quarter view, cinematic soft lighting, high detail, –ar 1:1</w:t>
      </w:r>
      <w:r>
        <w:t xml:space="preserve">”</w:t>
      </w:r>
    </w:p>
    <w:p>
      <w:pPr>
        <w:pStyle w:val="BodyText"/>
      </w:pPr>
      <w:r>
        <w:rPr>
          <w:bCs/>
          <w:b/>
        </w:rPr>
        <w:t xml:space="preserve">Bold cartoon version:</w:t>
      </w:r>
    </w:p>
    <w:p>
      <w:pPr>
        <w:pStyle w:val="BodyText"/>
      </w:pPr>
      <w:r>
        <w:t xml:space="preserve">“</w:t>
      </w:r>
      <w:r>
        <w:t xml:space="preserve">[[Face description]], bold clean cartoon illustration style, strong lines, limited flat color palette matching brand, confident expression, simple background, modern and energetic, vector friendly, high contrast, –ar 1:1</w:t>
      </w:r>
      <w:r>
        <w:t xml:space="preserve">”</w:t>
      </w:r>
    </w:p>
    <w:p>
      <w:pPr>
        <w:pStyle w:val="BodyText"/>
      </w:pPr>
      <w:r>
        <w:rPr>
          <w:bCs/>
          <w:b/>
        </w:rPr>
        <w:t xml:space="preserve">Adapt these by swapping the variable clothing, background, and vibe clauses only.</w:t>
      </w:r>
    </w:p>
    <w:bookmarkEnd w:id="30"/>
    <w:bookmarkStart w:id="31" w:name="pro-tips-for-consistency"/>
    <w:p>
      <w:pPr>
        <w:pStyle w:val="Heading2"/>
      </w:pPr>
      <w:r>
        <w:t xml:space="preserve">Pro Tips for Consistency</w:t>
      </w:r>
    </w:p>
    <w:p>
      <w:pPr>
        <w:numPr>
          <w:ilvl w:val="0"/>
          <w:numId w:val="1011"/>
        </w:numPr>
      </w:pPr>
      <w:r>
        <w:t xml:space="preserve">Spend 80% of your time perfecting the first</w:t>
      </w:r>
      <w:r>
        <w:t xml:space="preserve"> </w:t>
      </w:r>
      <w:r>
        <w:t xml:space="preserve">“</w:t>
      </w:r>
      <w:r>
        <w:t xml:space="preserve">hero</w:t>
      </w:r>
      <w:r>
        <w:t xml:space="preserve">”</w:t>
      </w:r>
      <w:r>
        <w:t xml:space="preserve"> </w:t>
      </w:r>
      <w:r>
        <w:t xml:space="preserve">image. All others inherit from it.</w:t>
      </w:r>
    </w:p>
    <w:p>
      <w:pPr>
        <w:numPr>
          <w:ilvl w:val="0"/>
          <w:numId w:val="1011"/>
        </w:numPr>
      </w:pPr>
      <w:r>
        <w:t xml:space="preserve">Use negative prompts aggressively for common failures (blurry eyes, extra fingers, weird hair, text artifacts).</w:t>
      </w:r>
    </w:p>
    <w:p>
      <w:pPr>
        <w:numPr>
          <w:ilvl w:val="0"/>
          <w:numId w:val="1011"/>
        </w:numPr>
      </w:pPr>
      <w:r>
        <w:t xml:space="preserve">When using character reference, start with moderate strength (0.6-0.75) and increase only if face drifts.</w:t>
      </w:r>
    </w:p>
    <w:p>
      <w:pPr>
        <w:numPr>
          <w:ilvl w:val="0"/>
          <w:numId w:val="1011"/>
        </w:numPr>
      </w:pPr>
      <w:r>
        <w:t xml:space="preserve">For realistic photos, slight asymmetry in expression and lighting looks more human.</w:t>
      </w:r>
    </w:p>
    <w:p>
      <w:pPr>
        <w:numPr>
          <w:ilvl w:val="0"/>
          <w:numId w:val="1011"/>
        </w:numPr>
      </w:pPr>
      <w:r>
        <w:t xml:space="preserve">Refresh your avatar set every 12-18 months or when your personal style or brand colors change significantly.</w:t>
      </w:r>
    </w:p>
    <w:bookmarkEnd w:id="31"/>
    <w:bookmarkStart w:id="32" w:name="common-mistakes-to-avoid"/>
    <w:p>
      <w:pPr>
        <w:pStyle w:val="Heading2"/>
      </w:pPr>
      <w:r>
        <w:t xml:space="preserve">Common Mistakes to Avoid</w:t>
      </w:r>
    </w:p>
    <w:p>
      <w:pPr>
        <w:numPr>
          <w:ilvl w:val="0"/>
          <w:numId w:val="1012"/>
        </w:numPr>
      </w:pPr>
      <w:r>
        <w:t xml:space="preserve">Changing too many prompt elements between</w:t>
      </w:r>
      <w:r>
        <w:t xml:space="preserve"> </w:t>
      </w:r>
      <w:r>
        <w:t xml:space="preserve">“</w:t>
      </w:r>
      <w:r>
        <w:t xml:space="preserve">consistent</w:t>
      </w:r>
      <w:r>
        <w:t xml:space="preserve">”</w:t>
      </w:r>
      <w:r>
        <w:t xml:space="preserve"> </w:t>
      </w:r>
      <w:r>
        <w:t xml:space="preserve">images.</w:t>
      </w:r>
    </w:p>
    <w:p>
      <w:pPr>
        <w:numPr>
          <w:ilvl w:val="0"/>
          <w:numId w:val="1012"/>
        </w:numPr>
      </w:pPr>
      <w:r>
        <w:t xml:space="preserve">Using different tools or model versions mid-set.</w:t>
      </w:r>
    </w:p>
    <w:p>
      <w:pPr>
        <w:numPr>
          <w:ilvl w:val="0"/>
          <w:numId w:val="1012"/>
        </w:numPr>
      </w:pPr>
      <w:r>
        <w:t xml:space="preserve">Ignoring platform cropping (test the final crop early).</w:t>
      </w:r>
    </w:p>
    <w:p>
      <w:pPr>
        <w:numPr>
          <w:ilvl w:val="0"/>
          <w:numId w:val="1012"/>
        </w:numPr>
      </w:pPr>
      <w:r>
        <w:t xml:space="preserve">Choosing a style that fights your actual appearance or brand photography.</w:t>
      </w:r>
    </w:p>
    <w:p>
      <w:pPr>
        <w:numPr>
          <w:ilvl w:val="0"/>
          <w:numId w:val="1012"/>
        </w:numPr>
      </w:pPr>
      <w:r>
        <w:t xml:space="preserve">Publishing one-off avatars instead of a coordinated set.</w:t>
      </w:r>
    </w:p>
    <w:p>
      <w:pPr>
        <w:pStyle w:val="FirstParagraph"/>
      </w:pPr>
      <w:r>
        <w:t xml:space="preserve">Follow the workflow, lock your anchors, and generate controlled variations. The result is a professional, ownable visual identity that works across every channel without looking generated. Keep your master prompt and reference image safe — they are the source of truth for all future updates.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2026-07-02T17:12:50Z</dcterms:created>
  <dcterms:modified xsi:type="dcterms:W3CDTF">2026-07-02T17:12:50Z</dcterms:modified>
</cp:coreProperties>
</file>

<file path=docProps/custom.xml><?xml version="1.0" encoding="utf-8"?>
<Properties xmlns="http://schemas.openxmlformats.org/officeDocument/2006/custom-properties" xmlns:vt="http://schemas.openxmlformats.org/officeDocument/2006/docPropsVTypes"/>
</file>